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99C" w:rsidRPr="00E3699C" w:rsidRDefault="00E3699C" w:rsidP="00E3699C">
      <w:pPr>
        <w:spacing w:after="0" w:line="240" w:lineRule="auto"/>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Cabinet</w:t>
      </w:r>
    </w:p>
    <w:p w:rsidR="00E3699C" w:rsidRPr="00E3699C" w:rsidRDefault="00E3699C" w:rsidP="00E3699C">
      <w:pPr>
        <w:spacing w:after="0" w:line="240" w:lineRule="auto"/>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Meeting to be held on 26 November 2015</w:t>
      </w:r>
    </w:p>
    <w:p w:rsidR="00E3699C" w:rsidRPr="00E3699C" w:rsidRDefault="00E3699C" w:rsidP="00E3699C">
      <w:pPr>
        <w:spacing w:after="0" w:line="240" w:lineRule="auto"/>
        <w:rPr>
          <w:rFonts w:ascii="Arial" w:eastAsia="Times New Roman" w:hAnsi="Arial" w:cs="Times New Roman"/>
          <w:sz w:val="24"/>
          <w:szCs w:val="20"/>
          <w:lang w:eastAsia="en-GB"/>
        </w:rPr>
      </w:pPr>
    </w:p>
    <w:p w:rsidR="00E3699C" w:rsidRPr="00E3699C" w:rsidRDefault="00E3699C" w:rsidP="00E3699C">
      <w:pPr>
        <w:spacing w:after="0" w:line="240" w:lineRule="auto"/>
        <w:rPr>
          <w:rFonts w:ascii="Arial" w:eastAsia="Times New Roman" w:hAnsi="Arial" w:cs="Times New Roman"/>
          <w:sz w:val="24"/>
          <w:szCs w:val="20"/>
          <w:lang w:eastAsia="en-GB"/>
        </w:rPr>
      </w:pPr>
      <w:r w:rsidRPr="00E3699C">
        <w:rPr>
          <w:rFonts w:ascii="Arial" w:eastAsia="Times New Roman" w:hAnsi="Arial" w:cs="Times New Roman"/>
          <w:b/>
          <w:sz w:val="24"/>
          <w:szCs w:val="20"/>
          <w:lang w:eastAsia="en-GB"/>
        </w:rPr>
        <w:t>Report of the Head of Asset Management</w:t>
      </w:r>
    </w:p>
    <w:tbl>
      <w:tblPr>
        <w:tblW w:w="3402"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E3699C" w:rsidRPr="00E3699C" w:rsidTr="00F82351">
        <w:tc>
          <w:tcPr>
            <w:tcW w:w="3402" w:type="dxa"/>
          </w:tcPr>
          <w:p w:rsidR="00E3699C" w:rsidRPr="00E3699C" w:rsidRDefault="00E3699C" w:rsidP="00E3699C">
            <w:pPr>
              <w:spacing w:after="0" w:line="240" w:lineRule="auto"/>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Electoral Division affected:</w:t>
            </w:r>
          </w:p>
          <w:p w:rsidR="00E3699C" w:rsidRPr="00E3699C" w:rsidRDefault="00E3699C" w:rsidP="00E3699C">
            <w:pPr>
              <w:spacing w:after="0" w:line="240" w:lineRule="auto"/>
              <w:ind w:right="-250"/>
              <w:rPr>
                <w:rFonts w:ascii="Arial" w:eastAsia="Times New Roman" w:hAnsi="Arial" w:cs="Times New Roman"/>
                <w:sz w:val="24"/>
                <w:szCs w:val="20"/>
                <w:u w:val="single"/>
                <w:lang w:eastAsia="en-GB"/>
              </w:rPr>
            </w:pPr>
            <w:r w:rsidRPr="00E3699C">
              <w:rPr>
                <w:rFonts w:ascii="Arial" w:eastAsia="Times New Roman" w:hAnsi="Arial" w:cs="Times New Roman"/>
                <w:sz w:val="24"/>
                <w:szCs w:val="20"/>
                <w:lang w:eastAsia="en-GB"/>
              </w:rPr>
              <w:t>All</w:t>
            </w:r>
          </w:p>
        </w:tc>
      </w:tr>
    </w:tbl>
    <w:p w:rsidR="00E3699C" w:rsidRPr="00E3699C" w:rsidRDefault="00E7172F" w:rsidP="00E3699C">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Property</w:t>
      </w:r>
      <w:r w:rsidR="00E3699C" w:rsidRPr="00E3699C">
        <w:rPr>
          <w:rFonts w:ascii="Arial" w:eastAsia="Times New Roman" w:hAnsi="Arial" w:cs="Times New Roman"/>
          <w:b/>
          <w:sz w:val="24"/>
          <w:szCs w:val="20"/>
          <w:lang w:eastAsia="en-GB"/>
        </w:rPr>
        <w:t xml:space="preserve"> Strategy – Neighbourhood Centres</w:t>
      </w:r>
    </w:p>
    <w:p w:rsidR="00E3699C" w:rsidRPr="00E3699C" w:rsidRDefault="006E4979" w:rsidP="00E3699C">
      <w:pPr>
        <w:spacing w:after="0" w:line="240" w:lineRule="auto"/>
        <w:ind w:left="709" w:hanging="709"/>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(Appendices </w:t>
      </w:r>
      <w:r w:rsidR="000834B5">
        <w:rPr>
          <w:rFonts w:ascii="Arial" w:eastAsia="Times New Roman" w:hAnsi="Arial" w:cs="Times New Roman"/>
          <w:sz w:val="24"/>
          <w:szCs w:val="20"/>
          <w:lang w:eastAsia="en-GB"/>
        </w:rPr>
        <w:t xml:space="preserve">'A' </w:t>
      </w:r>
      <w:r w:rsidR="00C01A5D">
        <w:rPr>
          <w:rFonts w:ascii="Arial" w:eastAsia="Times New Roman" w:hAnsi="Arial" w:cs="Times New Roman"/>
          <w:sz w:val="24"/>
          <w:szCs w:val="20"/>
          <w:lang w:eastAsia="en-GB"/>
        </w:rPr>
        <w:t xml:space="preserve">and </w:t>
      </w:r>
      <w:r w:rsidR="000834B5">
        <w:rPr>
          <w:rFonts w:ascii="Arial" w:eastAsia="Times New Roman" w:hAnsi="Arial" w:cs="Times New Roman"/>
          <w:sz w:val="24"/>
          <w:szCs w:val="20"/>
          <w:lang w:eastAsia="en-GB"/>
        </w:rPr>
        <w:t>'</w:t>
      </w:r>
      <w:r w:rsidR="00C01A5D">
        <w:rPr>
          <w:rFonts w:ascii="Arial" w:eastAsia="Times New Roman" w:hAnsi="Arial" w:cs="Times New Roman"/>
          <w:sz w:val="24"/>
          <w:szCs w:val="20"/>
          <w:lang w:eastAsia="en-GB"/>
        </w:rPr>
        <w:t>B</w:t>
      </w:r>
      <w:r w:rsidR="000834B5">
        <w:rPr>
          <w:rFonts w:ascii="Arial" w:eastAsia="Times New Roman" w:hAnsi="Arial" w:cs="Times New Roman"/>
          <w:sz w:val="24"/>
          <w:szCs w:val="20"/>
          <w:lang w:eastAsia="en-GB"/>
        </w:rPr>
        <w:t xml:space="preserve">' </w:t>
      </w:r>
      <w:r w:rsidR="00E3699C" w:rsidRPr="00E3699C">
        <w:rPr>
          <w:rFonts w:ascii="Arial" w:eastAsia="Times New Roman" w:hAnsi="Arial" w:cs="Times New Roman"/>
          <w:sz w:val="24"/>
          <w:szCs w:val="20"/>
          <w:lang w:eastAsia="en-GB"/>
        </w:rPr>
        <w:t>refer)</w:t>
      </w:r>
    </w:p>
    <w:p w:rsidR="00E3699C" w:rsidRPr="00E3699C" w:rsidRDefault="00E3699C" w:rsidP="00E3699C">
      <w:pPr>
        <w:spacing w:after="0" w:line="240" w:lineRule="auto"/>
        <w:ind w:left="709" w:hanging="709"/>
        <w:rPr>
          <w:rFonts w:ascii="Arial" w:eastAsia="Times New Roman" w:hAnsi="Arial" w:cs="Times New Roman"/>
          <w:b/>
          <w:sz w:val="24"/>
          <w:szCs w:val="20"/>
          <w:lang w:eastAsia="en-GB"/>
        </w:rPr>
      </w:pPr>
    </w:p>
    <w:p w:rsidR="00E3699C" w:rsidRPr="00E3699C" w:rsidRDefault="00E3699C" w:rsidP="00E3699C">
      <w:pPr>
        <w:spacing w:after="0" w:line="240" w:lineRule="auto"/>
        <w:ind w:right="-873"/>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Contact for further information: </w:t>
      </w:r>
    </w:p>
    <w:p w:rsidR="00E3699C" w:rsidRPr="00E3699C" w:rsidRDefault="00E3699C" w:rsidP="00E3699C">
      <w:pPr>
        <w:spacing w:after="0" w:line="240" w:lineRule="auto"/>
        <w:ind w:right="-873"/>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Matthew Tidmarsh, 01772 533243, Head of Asset Management, </w:t>
      </w:r>
    </w:p>
    <w:p w:rsidR="00E3699C" w:rsidRPr="00E3699C" w:rsidRDefault="00007003" w:rsidP="00E3699C">
      <w:pPr>
        <w:spacing w:after="0" w:line="240" w:lineRule="auto"/>
        <w:ind w:right="-873"/>
        <w:rPr>
          <w:rFonts w:ascii="Arial" w:eastAsia="Times New Roman" w:hAnsi="Arial" w:cs="Times New Roman"/>
          <w:sz w:val="24"/>
          <w:szCs w:val="20"/>
          <w:lang w:eastAsia="en-GB"/>
        </w:rPr>
      </w:pPr>
      <w:hyperlink r:id="rId8" w:history="1">
        <w:r w:rsidR="00E3699C" w:rsidRPr="00E3699C">
          <w:rPr>
            <w:rFonts w:ascii="Arial" w:eastAsia="Times New Roman" w:hAnsi="Arial" w:cs="Times New Roman"/>
            <w:color w:val="0563C1"/>
            <w:sz w:val="24"/>
            <w:szCs w:val="20"/>
            <w:u w:val="single"/>
            <w:lang w:eastAsia="en-GB"/>
          </w:rPr>
          <w:t>matthew.tidmarsh@lancashire.gov.uk</w:t>
        </w:r>
      </w:hyperlink>
    </w:p>
    <w:p w:rsidR="00E3699C" w:rsidRPr="00E3699C" w:rsidRDefault="00007003" w:rsidP="00E3699C">
      <w:pPr>
        <w:spacing w:after="0" w:line="240" w:lineRule="auto"/>
        <w:ind w:right="-873"/>
        <w:rPr>
          <w:rFonts w:ascii="Arial" w:eastAsia="Times New Roman" w:hAnsi="Arial" w:cs="Times New Roman"/>
          <w:sz w:val="24"/>
          <w:szCs w:val="20"/>
          <w:lang w:eastAsia="en-GB"/>
        </w:rPr>
      </w:pPr>
      <w:r>
        <w:rPr>
          <w:noProof/>
          <w:lang w:eastAsia="en-GB"/>
        </w:rPr>
        <w:drawing>
          <wp:anchor distT="0" distB="0" distL="114300" distR="114300" simplePos="0" relativeHeight="251658240" behindDoc="1" locked="0" layoutInCell="1" allowOverlap="1" wp14:anchorId="73CBD436" wp14:editId="6D990435">
            <wp:simplePos x="0" y="0"/>
            <wp:positionH relativeFrom="column">
              <wp:posOffset>4564380</wp:posOffset>
            </wp:positionH>
            <wp:positionV relativeFrom="paragraph">
              <wp:posOffset>6258560</wp:posOffset>
            </wp:positionV>
            <wp:extent cx="1257300" cy="624840"/>
            <wp:effectExtent l="0" t="0" r="0" b="3810"/>
            <wp:wrapNone/>
            <wp:docPr id="9" name="Picture 9"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3699C" w:rsidRPr="00E3699C" w:rsidTr="007E49B5">
        <w:tc>
          <w:tcPr>
            <w:tcW w:w="9180" w:type="dxa"/>
          </w:tcPr>
          <w:p w:rsidR="00E3699C" w:rsidRPr="00E3699C" w:rsidRDefault="00E3699C" w:rsidP="00E3699C">
            <w:pPr>
              <w:spacing w:after="0" w:line="240" w:lineRule="auto"/>
              <w:rPr>
                <w:rFonts w:ascii="Arial" w:eastAsia="Times New Roman" w:hAnsi="Arial" w:cs="Times New Roman"/>
                <w:b/>
                <w:sz w:val="24"/>
                <w:szCs w:val="20"/>
                <w:u w:val="single"/>
                <w:lang w:eastAsia="en-GB"/>
              </w:rPr>
            </w:pPr>
          </w:p>
          <w:p w:rsidR="00E3699C" w:rsidRDefault="00E3699C" w:rsidP="00E7172F">
            <w:pPr>
              <w:keepNext/>
              <w:spacing w:after="0" w:line="240" w:lineRule="auto"/>
              <w:outlineLvl w:val="5"/>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Executive Summary</w:t>
            </w:r>
          </w:p>
          <w:p w:rsidR="000834B5" w:rsidRPr="00E3699C" w:rsidRDefault="000834B5" w:rsidP="00E7172F">
            <w:pPr>
              <w:keepNext/>
              <w:spacing w:after="0" w:line="240" w:lineRule="auto"/>
              <w:outlineLvl w:val="5"/>
              <w:rPr>
                <w:rFonts w:ascii="Arial" w:eastAsia="Times New Roman" w:hAnsi="Arial" w:cs="Times New Roman"/>
                <w:b/>
                <w:sz w:val="24"/>
                <w:szCs w:val="20"/>
                <w:lang w:eastAsia="en-GB"/>
              </w:rPr>
            </w:pPr>
          </w:p>
          <w:p w:rsidR="00E3699C" w:rsidRPr="00E3699C" w:rsidRDefault="00E3699C" w:rsidP="007E49B5">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This report sets out a methodology to achieve a sustainable long term reduction in the County Council's corporate property portfolio to align with the aspirations of the Corporate Strategy and to enable the future successful delivery of public facing services.  </w:t>
            </w:r>
            <w:r w:rsidR="00C01A5D">
              <w:rPr>
                <w:rFonts w:ascii="Arial" w:eastAsia="Times New Roman" w:hAnsi="Arial" w:cs="Times New Roman"/>
                <w:sz w:val="24"/>
                <w:szCs w:val="20"/>
                <w:lang w:eastAsia="en-GB"/>
              </w:rPr>
              <w:t xml:space="preserve">Appendix </w:t>
            </w:r>
            <w:r w:rsidR="00007003">
              <w:rPr>
                <w:rFonts w:ascii="Arial" w:eastAsia="Times New Roman" w:hAnsi="Arial" w:cs="Times New Roman"/>
                <w:sz w:val="24"/>
                <w:szCs w:val="20"/>
                <w:lang w:eastAsia="en-GB"/>
              </w:rPr>
              <w:t>'</w:t>
            </w:r>
            <w:r w:rsidR="00C01A5D">
              <w:rPr>
                <w:rFonts w:ascii="Arial" w:eastAsia="Times New Roman" w:hAnsi="Arial" w:cs="Times New Roman"/>
                <w:sz w:val="24"/>
                <w:szCs w:val="20"/>
                <w:lang w:eastAsia="en-GB"/>
              </w:rPr>
              <w:t>A</w:t>
            </w:r>
            <w:r w:rsidR="00007003">
              <w:rPr>
                <w:rFonts w:ascii="Arial" w:eastAsia="Times New Roman" w:hAnsi="Arial" w:cs="Times New Roman"/>
                <w:sz w:val="24"/>
                <w:szCs w:val="20"/>
                <w:lang w:eastAsia="en-GB"/>
              </w:rPr>
              <w:t>'</w:t>
            </w:r>
            <w:r w:rsidRPr="00E3699C">
              <w:rPr>
                <w:rFonts w:ascii="Arial" w:eastAsia="Times New Roman" w:hAnsi="Arial" w:cs="Times New Roman"/>
                <w:sz w:val="24"/>
                <w:szCs w:val="20"/>
                <w:lang w:eastAsia="en-GB"/>
              </w:rPr>
              <w:t xml:space="preserve"> (with appendices</w:t>
            </w:r>
            <w:r w:rsidR="00C01A5D">
              <w:rPr>
                <w:rFonts w:ascii="Arial" w:eastAsia="Times New Roman" w:hAnsi="Arial" w:cs="Times New Roman"/>
                <w:sz w:val="24"/>
                <w:szCs w:val="20"/>
                <w:lang w:eastAsia="en-GB"/>
              </w:rPr>
              <w:t xml:space="preserve"> 1-3</w:t>
            </w:r>
            <w:r w:rsidRPr="00E3699C">
              <w:rPr>
                <w:rFonts w:ascii="Arial" w:eastAsia="Times New Roman" w:hAnsi="Arial" w:cs="Times New Roman"/>
                <w:sz w:val="24"/>
                <w:szCs w:val="20"/>
                <w:lang w:eastAsia="en-GB"/>
              </w:rPr>
              <w:t>) recommends a 'long' list of premises from which multi-functional Neighbourhood Centres could be selected and form the basis for service delivery.</w:t>
            </w:r>
          </w:p>
          <w:p w:rsidR="00E3699C" w:rsidRPr="00E3699C" w:rsidRDefault="00E3699C" w:rsidP="007E49B5">
            <w:pPr>
              <w:spacing w:after="0" w:line="240" w:lineRule="auto"/>
              <w:jc w:val="both"/>
              <w:rPr>
                <w:rFonts w:ascii="Arial" w:eastAsia="Times New Roman" w:hAnsi="Arial" w:cs="Times New Roman"/>
                <w:sz w:val="24"/>
                <w:szCs w:val="20"/>
                <w:lang w:eastAsia="en-GB"/>
              </w:rPr>
            </w:pPr>
          </w:p>
          <w:p w:rsidR="00E7172F" w:rsidRDefault="00E3699C" w:rsidP="007E49B5">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If the proposed strategy is approved, the premises from this long list that would remain as Neighbourhood Centres would be based on</w:t>
            </w:r>
            <w:r w:rsidR="00E7172F">
              <w:rPr>
                <w:rFonts w:ascii="Arial" w:eastAsia="Times New Roman" w:hAnsi="Arial" w:cs="Times New Roman"/>
                <w:sz w:val="24"/>
                <w:szCs w:val="20"/>
                <w:lang w:eastAsia="en-GB"/>
              </w:rPr>
              <w:t>:</w:t>
            </w:r>
          </w:p>
          <w:p w:rsidR="007E1B6E" w:rsidRDefault="007E1B6E" w:rsidP="007E49B5">
            <w:pPr>
              <w:spacing w:after="0" w:line="240" w:lineRule="auto"/>
              <w:jc w:val="both"/>
              <w:rPr>
                <w:rFonts w:ascii="Arial" w:eastAsia="Times New Roman" w:hAnsi="Arial" w:cs="Times New Roman"/>
                <w:sz w:val="24"/>
                <w:szCs w:val="20"/>
                <w:lang w:eastAsia="en-GB"/>
              </w:rPr>
            </w:pPr>
          </w:p>
          <w:p w:rsidR="00E7172F" w:rsidRDefault="00E7172F" w:rsidP="00E7172F">
            <w:pPr>
              <w:pStyle w:val="ListParagraph"/>
              <w:numPr>
                <w:ilvl w:val="0"/>
                <w:numId w:val="37"/>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N</w:t>
            </w:r>
            <w:r w:rsidR="00E3699C" w:rsidRPr="00E7172F">
              <w:rPr>
                <w:rFonts w:ascii="Arial" w:eastAsia="Times New Roman" w:hAnsi="Arial" w:cs="Times New Roman"/>
                <w:sz w:val="24"/>
                <w:szCs w:val="20"/>
                <w:lang w:eastAsia="en-GB"/>
              </w:rPr>
              <w:t>eed as determined by analysis of the Indices for Multiple Deprivation (IMD) across 34 Service Planning Areas (SPAs)</w:t>
            </w:r>
            <w:r>
              <w:rPr>
                <w:rFonts w:ascii="Arial" w:eastAsia="Times New Roman" w:hAnsi="Arial" w:cs="Times New Roman"/>
                <w:sz w:val="24"/>
                <w:szCs w:val="20"/>
                <w:lang w:eastAsia="en-GB"/>
              </w:rPr>
              <w:t>.</w:t>
            </w:r>
          </w:p>
          <w:p w:rsidR="00E7172F" w:rsidRDefault="00E7172F" w:rsidP="00E7172F">
            <w:pPr>
              <w:pStyle w:val="ListParagraph"/>
              <w:numPr>
                <w:ilvl w:val="0"/>
                <w:numId w:val="37"/>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A</w:t>
            </w:r>
            <w:r w:rsidR="00E3699C" w:rsidRPr="00E7172F">
              <w:rPr>
                <w:rFonts w:ascii="Arial" w:eastAsia="Times New Roman" w:hAnsi="Arial" w:cs="Times New Roman"/>
                <w:sz w:val="24"/>
                <w:szCs w:val="20"/>
                <w:lang w:eastAsia="en-GB"/>
              </w:rPr>
              <w:t>pproved service delivery b</w:t>
            </w:r>
            <w:r>
              <w:rPr>
                <w:rFonts w:ascii="Arial" w:eastAsia="Times New Roman" w:hAnsi="Arial" w:cs="Times New Roman"/>
                <w:sz w:val="24"/>
                <w:szCs w:val="20"/>
                <w:lang w:eastAsia="en-GB"/>
              </w:rPr>
              <w:t>udget options.</w:t>
            </w:r>
          </w:p>
          <w:p w:rsidR="00E3699C" w:rsidRPr="00E7172F" w:rsidRDefault="00E7172F" w:rsidP="00E7172F">
            <w:pPr>
              <w:pStyle w:val="ListParagraph"/>
              <w:numPr>
                <w:ilvl w:val="0"/>
                <w:numId w:val="37"/>
              </w:num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A</w:t>
            </w:r>
            <w:r w:rsidR="00E3699C" w:rsidRPr="00E7172F">
              <w:rPr>
                <w:rFonts w:ascii="Arial" w:eastAsia="Times New Roman" w:hAnsi="Arial" w:cs="Times New Roman"/>
                <w:sz w:val="24"/>
                <w:szCs w:val="20"/>
                <w:lang w:eastAsia="en-GB"/>
              </w:rPr>
              <w:t xml:space="preserve"> dispassionate analysis of chosen datasets as described within the strategy document.</w:t>
            </w:r>
          </w:p>
          <w:p w:rsidR="00E3699C" w:rsidRPr="00E3699C" w:rsidRDefault="00E3699C" w:rsidP="00E3699C">
            <w:pPr>
              <w:spacing w:after="0" w:line="240" w:lineRule="auto"/>
              <w:rPr>
                <w:rFonts w:ascii="Arial" w:eastAsia="Times New Roman" w:hAnsi="Arial" w:cs="Times New Roman"/>
                <w:b/>
                <w:sz w:val="24"/>
                <w:szCs w:val="20"/>
                <w:lang w:eastAsia="en-GB"/>
              </w:rPr>
            </w:pPr>
          </w:p>
          <w:p w:rsidR="00E3699C" w:rsidRDefault="00E3699C" w:rsidP="00E7172F">
            <w:pPr>
              <w:keepNext/>
              <w:spacing w:after="0" w:line="240" w:lineRule="auto"/>
              <w:outlineLvl w:val="4"/>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Recommendation</w:t>
            </w:r>
            <w:r w:rsidR="00E7172F">
              <w:rPr>
                <w:rFonts w:ascii="Arial" w:eastAsia="Times New Roman" w:hAnsi="Arial" w:cs="Times New Roman"/>
                <w:b/>
                <w:sz w:val="24"/>
                <w:szCs w:val="20"/>
                <w:lang w:eastAsia="en-GB"/>
              </w:rPr>
              <w:t>s</w:t>
            </w:r>
          </w:p>
          <w:p w:rsidR="000834B5" w:rsidRDefault="000834B5" w:rsidP="00E7172F">
            <w:pPr>
              <w:keepNext/>
              <w:spacing w:after="0" w:line="240" w:lineRule="auto"/>
              <w:outlineLvl w:val="4"/>
              <w:rPr>
                <w:rFonts w:ascii="Arial" w:eastAsia="Times New Roman" w:hAnsi="Arial" w:cs="Times New Roman"/>
                <w:b/>
                <w:sz w:val="24"/>
                <w:szCs w:val="20"/>
                <w:lang w:eastAsia="en-GB"/>
              </w:rPr>
            </w:pPr>
          </w:p>
          <w:p w:rsidR="000834B5" w:rsidRDefault="000834B5" w:rsidP="00E7172F">
            <w:pPr>
              <w:keepNext/>
              <w:spacing w:after="0" w:line="240" w:lineRule="auto"/>
              <w:outlineLvl w:val="4"/>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It is recommended that: </w:t>
            </w:r>
          </w:p>
          <w:p w:rsidR="000834B5" w:rsidRPr="00E3699C" w:rsidRDefault="000834B5" w:rsidP="00E7172F">
            <w:pPr>
              <w:keepNext/>
              <w:spacing w:after="0" w:line="240" w:lineRule="auto"/>
              <w:outlineLvl w:val="4"/>
              <w:rPr>
                <w:rFonts w:ascii="Arial" w:eastAsia="Times New Roman" w:hAnsi="Arial" w:cs="Times New Roman"/>
                <w:sz w:val="24"/>
                <w:szCs w:val="20"/>
                <w:lang w:eastAsia="en-GB"/>
              </w:rPr>
            </w:pPr>
          </w:p>
          <w:p w:rsidR="00E3699C" w:rsidRPr="007E1B6E" w:rsidRDefault="00E3699C" w:rsidP="007E1B6E">
            <w:pPr>
              <w:pStyle w:val="ListParagraph"/>
              <w:numPr>
                <w:ilvl w:val="0"/>
                <w:numId w:val="38"/>
              </w:numPr>
              <w:spacing w:after="0" w:line="240" w:lineRule="auto"/>
              <w:ind w:hanging="691"/>
              <w:jc w:val="both"/>
              <w:rPr>
                <w:rFonts w:ascii="Arial" w:eastAsia="Times New Roman" w:hAnsi="Arial" w:cs="Times New Roman"/>
                <w:sz w:val="24"/>
                <w:szCs w:val="20"/>
                <w:lang w:eastAsia="en-GB"/>
              </w:rPr>
            </w:pPr>
            <w:proofErr w:type="gramStart"/>
            <w:r w:rsidRPr="007E1B6E">
              <w:rPr>
                <w:rFonts w:ascii="Arial" w:eastAsia="Times New Roman" w:hAnsi="Arial" w:cs="Times New Roman"/>
                <w:sz w:val="24"/>
                <w:szCs w:val="20"/>
                <w:lang w:eastAsia="en-GB"/>
              </w:rPr>
              <w:t>approv</w:t>
            </w:r>
            <w:r w:rsidR="000834B5" w:rsidRPr="007E1B6E">
              <w:rPr>
                <w:rFonts w:ascii="Arial" w:eastAsia="Times New Roman" w:hAnsi="Arial" w:cs="Times New Roman"/>
                <w:sz w:val="24"/>
                <w:szCs w:val="20"/>
                <w:lang w:eastAsia="en-GB"/>
              </w:rPr>
              <w:t>al</w:t>
            </w:r>
            <w:proofErr w:type="gramEnd"/>
            <w:r w:rsidR="000834B5" w:rsidRPr="007E1B6E">
              <w:rPr>
                <w:rFonts w:ascii="Arial" w:eastAsia="Times New Roman" w:hAnsi="Arial" w:cs="Times New Roman"/>
                <w:sz w:val="24"/>
                <w:szCs w:val="20"/>
                <w:lang w:eastAsia="en-GB"/>
              </w:rPr>
              <w:t xml:space="preserve"> b</w:t>
            </w:r>
            <w:r w:rsidRPr="007E1B6E">
              <w:rPr>
                <w:rFonts w:ascii="Arial" w:eastAsia="Times New Roman" w:hAnsi="Arial" w:cs="Times New Roman"/>
                <w:sz w:val="24"/>
                <w:szCs w:val="20"/>
                <w:lang w:eastAsia="en-GB"/>
              </w:rPr>
              <w:t xml:space="preserve">e </w:t>
            </w:r>
            <w:r w:rsidR="000834B5" w:rsidRPr="007E1B6E">
              <w:rPr>
                <w:rFonts w:ascii="Arial" w:eastAsia="Times New Roman" w:hAnsi="Arial" w:cs="Times New Roman"/>
                <w:sz w:val="24"/>
                <w:szCs w:val="20"/>
                <w:lang w:eastAsia="en-GB"/>
              </w:rPr>
              <w:t xml:space="preserve">given to </w:t>
            </w:r>
            <w:r w:rsidRPr="007E1B6E">
              <w:rPr>
                <w:rFonts w:ascii="Arial" w:eastAsia="Times New Roman" w:hAnsi="Arial" w:cs="Times New Roman"/>
                <w:sz w:val="24"/>
                <w:szCs w:val="20"/>
                <w:lang w:eastAsia="en-GB"/>
              </w:rPr>
              <w:t>the proposed strategy for the reduction of the County Council's corporate operational property and methodology for the delivery of public facing services from a series of multi-fun</w:t>
            </w:r>
            <w:r w:rsidR="000D5A8D" w:rsidRPr="007E1B6E">
              <w:rPr>
                <w:rFonts w:ascii="Arial" w:eastAsia="Times New Roman" w:hAnsi="Arial" w:cs="Times New Roman"/>
                <w:sz w:val="24"/>
                <w:szCs w:val="20"/>
                <w:lang w:eastAsia="en-GB"/>
              </w:rPr>
              <w:t>ctional 'Neighbourhood Centres'.</w:t>
            </w:r>
          </w:p>
          <w:p w:rsidR="007E1B6E" w:rsidRPr="007E1B6E" w:rsidRDefault="007E1B6E" w:rsidP="007E1B6E">
            <w:pPr>
              <w:pStyle w:val="ListParagraph"/>
              <w:spacing w:after="0" w:line="240" w:lineRule="auto"/>
              <w:jc w:val="both"/>
              <w:rPr>
                <w:rFonts w:ascii="Arial" w:eastAsia="Times New Roman" w:hAnsi="Arial" w:cs="Times New Roman"/>
                <w:sz w:val="24"/>
                <w:szCs w:val="20"/>
                <w:lang w:eastAsia="en-GB"/>
              </w:rPr>
            </w:pPr>
          </w:p>
          <w:p w:rsidR="00F82351" w:rsidRDefault="00E3699C" w:rsidP="00F82351">
            <w:pPr>
              <w:pStyle w:val="ListParagraph"/>
              <w:numPr>
                <w:ilvl w:val="0"/>
                <w:numId w:val="38"/>
              </w:numPr>
              <w:spacing w:after="0" w:line="240" w:lineRule="auto"/>
              <w:ind w:hanging="691"/>
              <w:jc w:val="both"/>
              <w:rPr>
                <w:rFonts w:ascii="Arial" w:eastAsia="Times New Roman" w:hAnsi="Arial" w:cs="Times New Roman"/>
                <w:sz w:val="24"/>
                <w:szCs w:val="20"/>
                <w:lang w:eastAsia="en-GB"/>
              </w:rPr>
            </w:pPr>
            <w:proofErr w:type="gramStart"/>
            <w:r w:rsidRPr="007E1B6E">
              <w:rPr>
                <w:rFonts w:ascii="Arial" w:eastAsia="Times New Roman" w:hAnsi="Arial" w:cs="Times New Roman"/>
                <w:sz w:val="24"/>
                <w:szCs w:val="20"/>
                <w:lang w:eastAsia="en-GB"/>
              </w:rPr>
              <w:t>approval</w:t>
            </w:r>
            <w:proofErr w:type="gramEnd"/>
            <w:r w:rsidRPr="007E1B6E">
              <w:rPr>
                <w:rFonts w:ascii="Arial" w:eastAsia="Times New Roman" w:hAnsi="Arial" w:cs="Times New Roman"/>
                <w:sz w:val="24"/>
                <w:szCs w:val="20"/>
                <w:lang w:eastAsia="en-GB"/>
              </w:rPr>
              <w:t xml:space="preserve"> be given for the evaluation of identified datasets and subsequent consultation o</w:t>
            </w:r>
            <w:r w:rsidR="007E1B6E" w:rsidRPr="007E1B6E">
              <w:rPr>
                <w:rFonts w:ascii="Arial" w:eastAsia="Times New Roman" w:hAnsi="Arial" w:cs="Times New Roman"/>
                <w:sz w:val="24"/>
                <w:szCs w:val="20"/>
                <w:lang w:eastAsia="en-GB"/>
              </w:rPr>
              <w:t>n</w:t>
            </w:r>
            <w:r w:rsidRPr="007E1B6E">
              <w:rPr>
                <w:rFonts w:ascii="Arial" w:eastAsia="Times New Roman" w:hAnsi="Arial" w:cs="Times New Roman"/>
                <w:sz w:val="24"/>
                <w:szCs w:val="20"/>
                <w:lang w:eastAsia="en-GB"/>
              </w:rPr>
              <w:t xml:space="preserve"> the recommendations for the final selection of premises to become Neighbourhood Centres.</w:t>
            </w:r>
          </w:p>
          <w:p w:rsidR="00F82351" w:rsidRPr="00F82351" w:rsidRDefault="00F82351" w:rsidP="00F82351">
            <w:pPr>
              <w:pStyle w:val="ListParagraph"/>
              <w:rPr>
                <w:rFonts w:ascii="Arial" w:eastAsia="Times New Roman" w:hAnsi="Arial" w:cs="Times New Roman"/>
                <w:sz w:val="24"/>
                <w:szCs w:val="20"/>
                <w:lang w:eastAsia="en-GB"/>
              </w:rPr>
            </w:pPr>
          </w:p>
          <w:p w:rsidR="000D5A8D" w:rsidRPr="00F82351" w:rsidRDefault="000D5A8D" w:rsidP="00F82351">
            <w:pPr>
              <w:pStyle w:val="ListParagraph"/>
              <w:numPr>
                <w:ilvl w:val="0"/>
                <w:numId w:val="39"/>
              </w:numPr>
              <w:spacing w:after="0" w:line="240" w:lineRule="auto"/>
              <w:ind w:hanging="691"/>
              <w:jc w:val="both"/>
              <w:rPr>
                <w:rFonts w:ascii="Arial" w:eastAsia="Times New Roman" w:hAnsi="Arial" w:cs="Times New Roman"/>
                <w:sz w:val="24"/>
                <w:szCs w:val="20"/>
                <w:lang w:eastAsia="en-GB"/>
              </w:rPr>
            </w:pPr>
            <w:proofErr w:type="gramStart"/>
            <w:r w:rsidRPr="00F82351">
              <w:rPr>
                <w:rFonts w:ascii="Arial" w:eastAsia="Times New Roman" w:hAnsi="Arial" w:cs="Times New Roman"/>
                <w:sz w:val="24"/>
                <w:szCs w:val="20"/>
                <w:lang w:eastAsia="en-GB"/>
              </w:rPr>
              <w:lastRenderedPageBreak/>
              <w:t>approval</w:t>
            </w:r>
            <w:proofErr w:type="gramEnd"/>
            <w:r w:rsidRPr="00F82351">
              <w:rPr>
                <w:rFonts w:ascii="Arial" w:eastAsia="Times New Roman" w:hAnsi="Arial" w:cs="Times New Roman"/>
                <w:sz w:val="24"/>
                <w:szCs w:val="20"/>
                <w:lang w:eastAsia="en-GB"/>
              </w:rPr>
              <w:t xml:space="preserve"> be given for contact to be made with relevant public sector partners</w:t>
            </w:r>
            <w:r w:rsidR="007E1B6E" w:rsidRPr="00F82351">
              <w:rPr>
                <w:rFonts w:ascii="Arial" w:eastAsia="Times New Roman" w:hAnsi="Arial" w:cs="Times New Roman"/>
                <w:sz w:val="24"/>
                <w:szCs w:val="20"/>
                <w:lang w:eastAsia="en-GB"/>
              </w:rPr>
              <w:t>,</w:t>
            </w:r>
            <w:r w:rsidRPr="00F82351">
              <w:rPr>
                <w:rFonts w:ascii="Arial" w:eastAsia="Times New Roman" w:hAnsi="Arial" w:cs="Times New Roman"/>
                <w:sz w:val="24"/>
                <w:szCs w:val="20"/>
                <w:lang w:eastAsia="en-GB"/>
              </w:rPr>
              <w:t xml:space="preserve"> </w:t>
            </w:r>
            <w:r w:rsidR="007E1B6E" w:rsidRPr="00F82351">
              <w:rPr>
                <w:rFonts w:ascii="Arial" w:eastAsia="Times New Roman" w:hAnsi="Arial" w:cs="Times New Roman"/>
                <w:sz w:val="24"/>
                <w:szCs w:val="20"/>
                <w:lang w:eastAsia="en-GB"/>
              </w:rPr>
              <w:t xml:space="preserve">including the voluntary sector, </w:t>
            </w:r>
            <w:r w:rsidRPr="00F82351">
              <w:rPr>
                <w:rFonts w:ascii="Arial" w:eastAsia="Times New Roman" w:hAnsi="Arial" w:cs="Times New Roman"/>
                <w:sz w:val="24"/>
                <w:szCs w:val="20"/>
                <w:lang w:eastAsia="en-GB"/>
              </w:rPr>
              <w:t>to explore opportunities</w:t>
            </w:r>
            <w:r w:rsidR="00560A2F" w:rsidRPr="00F82351">
              <w:rPr>
                <w:rFonts w:ascii="Arial" w:eastAsia="Times New Roman" w:hAnsi="Arial" w:cs="Times New Roman"/>
                <w:sz w:val="24"/>
                <w:szCs w:val="20"/>
                <w:lang w:eastAsia="en-GB"/>
              </w:rPr>
              <w:t xml:space="preserve"> </w:t>
            </w:r>
            <w:r w:rsidRPr="00F82351">
              <w:rPr>
                <w:rFonts w:ascii="Arial" w:eastAsia="Times New Roman" w:hAnsi="Arial" w:cs="Times New Roman"/>
                <w:sz w:val="24"/>
                <w:szCs w:val="20"/>
                <w:lang w:eastAsia="en-GB"/>
              </w:rPr>
              <w:t xml:space="preserve">for co-location and sharing of service delivery.  </w:t>
            </w:r>
          </w:p>
          <w:p w:rsidR="000D5A8D" w:rsidRDefault="000D5A8D" w:rsidP="007E49B5">
            <w:pPr>
              <w:spacing w:after="0" w:line="240" w:lineRule="auto"/>
              <w:jc w:val="both"/>
              <w:rPr>
                <w:rFonts w:ascii="Arial" w:eastAsia="Times New Roman" w:hAnsi="Arial" w:cs="Times New Roman"/>
                <w:sz w:val="24"/>
                <w:szCs w:val="20"/>
                <w:lang w:eastAsia="en-GB"/>
              </w:rPr>
            </w:pPr>
          </w:p>
          <w:p w:rsidR="00E3699C" w:rsidRPr="007E1B6E" w:rsidRDefault="008C1AFB" w:rsidP="007E1B6E">
            <w:pPr>
              <w:pStyle w:val="ListParagraph"/>
              <w:numPr>
                <w:ilvl w:val="0"/>
                <w:numId w:val="39"/>
              </w:numPr>
              <w:spacing w:after="0" w:line="240" w:lineRule="auto"/>
              <w:ind w:hanging="691"/>
              <w:jc w:val="both"/>
              <w:rPr>
                <w:rFonts w:ascii="Arial" w:eastAsia="Times New Roman" w:hAnsi="Arial" w:cs="Times New Roman"/>
                <w:sz w:val="24"/>
                <w:szCs w:val="20"/>
                <w:lang w:eastAsia="en-GB"/>
              </w:rPr>
            </w:pPr>
            <w:proofErr w:type="gramStart"/>
            <w:r w:rsidRPr="007E1B6E">
              <w:rPr>
                <w:rFonts w:ascii="Arial" w:eastAsia="Times New Roman" w:hAnsi="Arial" w:cs="Times New Roman"/>
                <w:sz w:val="24"/>
                <w:szCs w:val="20"/>
                <w:lang w:eastAsia="en-GB"/>
              </w:rPr>
              <w:t>that</w:t>
            </w:r>
            <w:proofErr w:type="gramEnd"/>
            <w:r w:rsidRPr="007E1B6E">
              <w:rPr>
                <w:rFonts w:ascii="Arial" w:eastAsia="Times New Roman" w:hAnsi="Arial" w:cs="Times New Roman"/>
                <w:sz w:val="24"/>
                <w:szCs w:val="20"/>
                <w:lang w:eastAsia="en-GB"/>
              </w:rPr>
              <w:t xml:space="preserve"> approval be given for the estimated cost of works required to premises to deliver the </w:t>
            </w:r>
            <w:r w:rsidR="00E7172F" w:rsidRPr="007E1B6E">
              <w:rPr>
                <w:rFonts w:ascii="Arial" w:eastAsia="Times New Roman" w:hAnsi="Arial" w:cs="Times New Roman"/>
                <w:sz w:val="24"/>
                <w:szCs w:val="20"/>
                <w:lang w:eastAsia="en-GB"/>
              </w:rPr>
              <w:t>Property</w:t>
            </w:r>
            <w:r w:rsidRPr="007E1B6E">
              <w:rPr>
                <w:rFonts w:ascii="Arial" w:eastAsia="Times New Roman" w:hAnsi="Arial" w:cs="Times New Roman"/>
                <w:sz w:val="24"/>
                <w:szCs w:val="20"/>
                <w:lang w:eastAsia="en-GB"/>
              </w:rPr>
              <w:t xml:space="preserve"> Strategy (Neighbourhood Centres) </w:t>
            </w:r>
            <w:r w:rsidR="00AD409F" w:rsidRPr="007E1B6E">
              <w:rPr>
                <w:rFonts w:ascii="Arial" w:eastAsia="Times New Roman" w:hAnsi="Arial" w:cs="Times New Roman"/>
                <w:sz w:val="24"/>
                <w:szCs w:val="20"/>
                <w:lang w:eastAsia="en-GB"/>
              </w:rPr>
              <w:t>to be</w:t>
            </w:r>
            <w:r w:rsidRPr="007E1B6E">
              <w:rPr>
                <w:rFonts w:ascii="Arial" w:eastAsia="Times New Roman" w:hAnsi="Arial" w:cs="Times New Roman"/>
                <w:sz w:val="24"/>
                <w:szCs w:val="20"/>
                <w:lang w:eastAsia="en-GB"/>
              </w:rPr>
              <w:t xml:space="preserve"> added to the Capital Programme</w:t>
            </w:r>
            <w:r w:rsidR="007E1B6E" w:rsidRPr="007E1B6E">
              <w:rPr>
                <w:rFonts w:ascii="Arial" w:eastAsia="Times New Roman" w:hAnsi="Arial" w:cs="Times New Roman"/>
                <w:sz w:val="24"/>
                <w:szCs w:val="20"/>
                <w:lang w:eastAsia="en-GB"/>
              </w:rPr>
              <w:t>, and that d</w:t>
            </w:r>
            <w:r w:rsidRPr="007E1B6E">
              <w:rPr>
                <w:rFonts w:ascii="Arial" w:eastAsia="Times New Roman" w:hAnsi="Arial" w:cs="Times New Roman"/>
                <w:sz w:val="24"/>
                <w:szCs w:val="20"/>
                <w:lang w:eastAsia="en-GB"/>
              </w:rPr>
              <w:t xml:space="preserve">etailed phasing of the required expenditure </w:t>
            </w:r>
            <w:r w:rsidR="007E1B6E" w:rsidRPr="007E1B6E">
              <w:rPr>
                <w:rFonts w:ascii="Arial" w:eastAsia="Times New Roman" w:hAnsi="Arial" w:cs="Times New Roman"/>
                <w:sz w:val="24"/>
                <w:szCs w:val="20"/>
                <w:lang w:eastAsia="en-GB"/>
              </w:rPr>
              <w:t xml:space="preserve">be </w:t>
            </w:r>
            <w:r w:rsidRPr="007E1B6E">
              <w:rPr>
                <w:rFonts w:ascii="Arial" w:eastAsia="Times New Roman" w:hAnsi="Arial" w:cs="Times New Roman"/>
                <w:sz w:val="24"/>
                <w:szCs w:val="20"/>
                <w:lang w:eastAsia="en-GB"/>
              </w:rPr>
              <w:t xml:space="preserve"> provided in subsequent reports.</w:t>
            </w:r>
          </w:p>
          <w:p w:rsidR="007E1B6E" w:rsidRPr="007E1B6E" w:rsidRDefault="007E1B6E" w:rsidP="007E1B6E">
            <w:pPr>
              <w:pStyle w:val="ListParagraph"/>
              <w:spacing w:after="0" w:line="240" w:lineRule="auto"/>
              <w:jc w:val="both"/>
              <w:rPr>
                <w:rFonts w:ascii="Arial" w:eastAsia="Times New Roman" w:hAnsi="Arial" w:cs="Times New Roman"/>
                <w:sz w:val="24"/>
                <w:szCs w:val="20"/>
                <w:lang w:eastAsia="en-GB"/>
              </w:rPr>
            </w:pPr>
          </w:p>
        </w:tc>
      </w:tr>
    </w:tbl>
    <w:p w:rsidR="00E3699C" w:rsidRPr="00E3699C" w:rsidRDefault="00E3699C" w:rsidP="00E3699C">
      <w:pPr>
        <w:spacing w:after="0" w:line="240" w:lineRule="auto"/>
        <w:rPr>
          <w:rFonts w:ascii="Arial" w:eastAsia="Times New Roman" w:hAnsi="Arial" w:cs="Times New Roman"/>
          <w:b/>
          <w:sz w:val="24"/>
          <w:szCs w:val="20"/>
          <w:u w:val="single"/>
          <w:lang w:eastAsia="en-GB"/>
        </w:rPr>
      </w:pPr>
    </w:p>
    <w:p w:rsidR="00E3699C" w:rsidRPr="00E3699C" w:rsidRDefault="00E3699C" w:rsidP="00E3699C">
      <w:pPr>
        <w:spacing w:after="0" w:line="240" w:lineRule="auto"/>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 xml:space="preserve">Background and Advice </w:t>
      </w:r>
    </w:p>
    <w:p w:rsidR="00E3699C" w:rsidRPr="00E3699C" w:rsidRDefault="00E3699C" w:rsidP="00E3699C">
      <w:pPr>
        <w:spacing w:after="0" w:line="240" w:lineRule="auto"/>
        <w:rPr>
          <w:rFonts w:ascii="Arial" w:eastAsia="Times New Roman" w:hAnsi="Arial" w:cs="Times New Roman"/>
          <w:b/>
          <w:sz w:val="24"/>
          <w:szCs w:val="20"/>
          <w:lang w:eastAsia="en-GB"/>
        </w:rPr>
      </w:pPr>
    </w:p>
    <w:p w:rsidR="00E3699C" w:rsidRPr="00E3699C" w:rsidRDefault="00E3699C" w:rsidP="007E49B5">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The County Council's property portfolio excluding schools is a significant asset comprising in the order of 500 operational sites.   It is likely that in the coming years the ability </w:t>
      </w:r>
      <w:r w:rsidR="00E7172F">
        <w:rPr>
          <w:rFonts w:ascii="Arial" w:eastAsia="Times New Roman" w:hAnsi="Arial" w:cs="Times New Roman"/>
          <w:sz w:val="24"/>
          <w:szCs w:val="20"/>
          <w:lang w:eastAsia="en-GB"/>
        </w:rPr>
        <w:t xml:space="preserve">to </w:t>
      </w:r>
      <w:r w:rsidRPr="00E3699C">
        <w:rPr>
          <w:rFonts w:ascii="Arial" w:eastAsia="Times New Roman" w:hAnsi="Arial" w:cs="Times New Roman"/>
          <w:sz w:val="24"/>
          <w:szCs w:val="20"/>
          <w:lang w:eastAsia="en-GB"/>
        </w:rPr>
        <w:t>operate from these various sites will be severely diminished as a result of the budgetary challenges facing all service areas.  As a consequence it is sensible to consider the extent of this portfolio and determine how a targeted reduction could be best achieved.</w:t>
      </w:r>
    </w:p>
    <w:p w:rsidR="00E3699C" w:rsidRPr="00E3699C" w:rsidRDefault="00E3699C" w:rsidP="00E3699C">
      <w:pPr>
        <w:spacing w:after="0" w:line="240" w:lineRule="auto"/>
        <w:rPr>
          <w:rFonts w:ascii="Arial" w:eastAsia="Times New Roman" w:hAnsi="Arial" w:cs="Times New Roman"/>
          <w:sz w:val="24"/>
          <w:szCs w:val="20"/>
          <w:lang w:eastAsia="en-GB"/>
        </w:rPr>
      </w:pPr>
    </w:p>
    <w:p w:rsidR="00E3699C" w:rsidRPr="00E3699C" w:rsidRDefault="00E3699C" w:rsidP="007E49B5">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The attached proposed strategy considers how this could be undertaken and recommends the transformation of certain premises into 'Neighbourhood</w:t>
      </w:r>
      <w:r w:rsidR="00E7172F">
        <w:rPr>
          <w:rFonts w:ascii="Arial" w:eastAsia="Times New Roman" w:hAnsi="Arial" w:cs="Times New Roman"/>
          <w:sz w:val="24"/>
          <w:szCs w:val="20"/>
          <w:lang w:eastAsia="en-GB"/>
        </w:rPr>
        <w:t xml:space="preserve"> Centres' which would provide a </w:t>
      </w:r>
      <w:r w:rsidRPr="00E3699C">
        <w:rPr>
          <w:rFonts w:ascii="Arial" w:eastAsia="Times New Roman" w:hAnsi="Arial" w:cs="Times New Roman"/>
          <w:sz w:val="24"/>
          <w:szCs w:val="20"/>
          <w:lang w:eastAsia="en-GB"/>
        </w:rPr>
        <w:t>range of targeted front facing publicly accessed council services compared with the present approach which relies heavily on single function premises, e</w:t>
      </w:r>
      <w:r>
        <w:rPr>
          <w:rFonts w:ascii="Arial" w:eastAsia="Times New Roman" w:hAnsi="Arial" w:cs="Times New Roman"/>
          <w:sz w:val="24"/>
          <w:szCs w:val="20"/>
          <w:lang w:eastAsia="en-GB"/>
        </w:rPr>
        <w:t>.</w:t>
      </w:r>
      <w:r w:rsidRPr="00E3699C">
        <w:rPr>
          <w:rFonts w:ascii="Arial" w:eastAsia="Times New Roman" w:hAnsi="Arial" w:cs="Times New Roman"/>
          <w:sz w:val="24"/>
          <w:szCs w:val="20"/>
          <w:lang w:eastAsia="en-GB"/>
        </w:rPr>
        <w:t>g., Libraries, Children's Centres.</w:t>
      </w:r>
    </w:p>
    <w:p w:rsidR="00E3699C" w:rsidRPr="00E3699C" w:rsidRDefault="00E3699C" w:rsidP="007E49B5">
      <w:pPr>
        <w:spacing w:after="0" w:line="240" w:lineRule="auto"/>
        <w:jc w:val="both"/>
        <w:rPr>
          <w:rFonts w:ascii="Arial" w:eastAsia="Times New Roman" w:hAnsi="Arial" w:cs="Times New Roman"/>
          <w:sz w:val="24"/>
          <w:szCs w:val="20"/>
          <w:lang w:eastAsia="en-GB"/>
        </w:rPr>
      </w:pPr>
    </w:p>
    <w:p w:rsidR="00E3699C" w:rsidRPr="00E3699C" w:rsidRDefault="00E3699C" w:rsidP="007E49B5">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A total of 220 premises have been selected from the total property holdings of the County Council to be considered in the proposed review.  Certain premises are out of scope as being completely unsuitable for front facing public service delivery e</w:t>
      </w:r>
      <w:r w:rsidR="006E4979">
        <w:rPr>
          <w:rFonts w:ascii="Arial" w:eastAsia="Times New Roman" w:hAnsi="Arial" w:cs="Times New Roman"/>
          <w:sz w:val="24"/>
          <w:szCs w:val="20"/>
          <w:lang w:eastAsia="en-GB"/>
        </w:rPr>
        <w:t>.</w:t>
      </w:r>
      <w:r w:rsidRPr="00E3699C">
        <w:rPr>
          <w:rFonts w:ascii="Arial" w:eastAsia="Times New Roman" w:hAnsi="Arial" w:cs="Times New Roman"/>
          <w:sz w:val="24"/>
          <w:szCs w:val="20"/>
          <w:lang w:eastAsia="en-GB"/>
        </w:rPr>
        <w:t xml:space="preserve">g., </w:t>
      </w:r>
      <w:r w:rsidR="000D5A8D">
        <w:rPr>
          <w:rFonts w:ascii="Arial" w:eastAsia="Times New Roman" w:hAnsi="Arial" w:cs="Times New Roman"/>
          <w:sz w:val="24"/>
          <w:szCs w:val="20"/>
          <w:lang w:eastAsia="en-GB"/>
        </w:rPr>
        <w:t>Homes for Older People</w:t>
      </w:r>
      <w:r w:rsidRPr="00E3699C">
        <w:rPr>
          <w:rFonts w:ascii="Arial" w:eastAsia="Times New Roman" w:hAnsi="Arial" w:cs="Times New Roman"/>
          <w:sz w:val="24"/>
          <w:szCs w:val="20"/>
          <w:lang w:eastAsia="en-GB"/>
        </w:rPr>
        <w:t>,</w:t>
      </w:r>
      <w:r w:rsidR="000D5A8D">
        <w:rPr>
          <w:rFonts w:ascii="Arial" w:eastAsia="Times New Roman" w:hAnsi="Arial" w:cs="Times New Roman"/>
          <w:sz w:val="24"/>
          <w:szCs w:val="20"/>
          <w:lang w:eastAsia="en-GB"/>
        </w:rPr>
        <w:t xml:space="preserve"> Children's Homes,</w:t>
      </w:r>
      <w:r w:rsidRPr="00E3699C">
        <w:rPr>
          <w:rFonts w:ascii="Arial" w:eastAsia="Times New Roman" w:hAnsi="Arial" w:cs="Times New Roman"/>
          <w:sz w:val="24"/>
          <w:szCs w:val="20"/>
          <w:lang w:eastAsia="en-GB"/>
        </w:rPr>
        <w:t xml:space="preserve"> Outdoor Education </w:t>
      </w:r>
      <w:r w:rsidR="000D5A8D">
        <w:rPr>
          <w:rFonts w:ascii="Arial" w:eastAsia="Times New Roman" w:hAnsi="Arial" w:cs="Times New Roman"/>
          <w:sz w:val="24"/>
          <w:szCs w:val="20"/>
          <w:lang w:eastAsia="en-GB"/>
        </w:rPr>
        <w:t>Establishments, Landfill sites etc.</w:t>
      </w:r>
    </w:p>
    <w:p w:rsidR="00E3699C" w:rsidRPr="00E3699C" w:rsidRDefault="00E3699C" w:rsidP="007E49B5">
      <w:pPr>
        <w:spacing w:after="0" w:line="240" w:lineRule="auto"/>
        <w:jc w:val="both"/>
        <w:rPr>
          <w:rFonts w:ascii="Arial" w:eastAsia="Times New Roman" w:hAnsi="Arial" w:cs="Times New Roman"/>
          <w:sz w:val="24"/>
          <w:szCs w:val="20"/>
          <w:lang w:eastAsia="en-GB"/>
        </w:rPr>
      </w:pPr>
    </w:p>
    <w:p w:rsidR="00E3699C" w:rsidRPr="00E3699C" w:rsidRDefault="00E3699C" w:rsidP="007E49B5">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It is proposed that the reduction in premises from 220 be based upon need assessed in a series of 34 Service Planning Areas (SPAs) across the County using the 2015 English Indices of Multiple Deprivation.  Application of this approach would deliver a reduction of 108 premises.</w:t>
      </w:r>
    </w:p>
    <w:p w:rsidR="00E3699C" w:rsidRPr="00E3699C" w:rsidRDefault="00E3699C" w:rsidP="007E49B5">
      <w:pPr>
        <w:spacing w:after="0" w:line="240" w:lineRule="auto"/>
        <w:jc w:val="both"/>
        <w:rPr>
          <w:rFonts w:ascii="Arial" w:eastAsia="Times New Roman" w:hAnsi="Arial" w:cs="Times New Roman"/>
          <w:sz w:val="24"/>
          <w:szCs w:val="20"/>
          <w:lang w:eastAsia="en-GB"/>
        </w:rPr>
      </w:pPr>
    </w:p>
    <w:p w:rsidR="00E3699C" w:rsidRPr="00E3699C" w:rsidRDefault="00E3699C" w:rsidP="007E49B5">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Approval of the proposed strategy would enable detailed analysis and consultation to identify the candidates for inclusion in the </w:t>
      </w:r>
      <w:r w:rsidR="00E7172F">
        <w:rPr>
          <w:rFonts w:ascii="Arial" w:eastAsia="Times New Roman" w:hAnsi="Arial" w:cs="Times New Roman"/>
          <w:sz w:val="24"/>
          <w:szCs w:val="20"/>
          <w:lang w:eastAsia="en-GB"/>
        </w:rPr>
        <w:t>'</w:t>
      </w:r>
      <w:r w:rsidRPr="00E3699C">
        <w:rPr>
          <w:rFonts w:ascii="Arial" w:eastAsia="Times New Roman" w:hAnsi="Arial" w:cs="Times New Roman"/>
          <w:sz w:val="24"/>
          <w:szCs w:val="20"/>
          <w:lang w:eastAsia="en-GB"/>
        </w:rPr>
        <w:t>Neighbourhood Centres' portfolio and by exception, which premises would be recommended for disposal.</w:t>
      </w:r>
    </w:p>
    <w:p w:rsidR="00F82351" w:rsidRDefault="00F82351" w:rsidP="00E3699C">
      <w:pPr>
        <w:spacing w:after="0" w:line="240" w:lineRule="auto"/>
        <w:rPr>
          <w:rFonts w:ascii="Arial" w:eastAsia="Times New Roman" w:hAnsi="Arial" w:cs="Times New Roman"/>
          <w:b/>
          <w:sz w:val="24"/>
          <w:szCs w:val="20"/>
          <w:lang w:eastAsia="en-GB"/>
        </w:rPr>
      </w:pPr>
    </w:p>
    <w:p w:rsidR="00E3699C" w:rsidRPr="00E3699C" w:rsidRDefault="00E3699C" w:rsidP="00E3699C">
      <w:pPr>
        <w:spacing w:after="0" w:line="240" w:lineRule="auto"/>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Consultations</w:t>
      </w:r>
    </w:p>
    <w:p w:rsidR="00E3699C" w:rsidRPr="00E3699C" w:rsidRDefault="00E3699C" w:rsidP="00E3699C">
      <w:pPr>
        <w:spacing w:after="0" w:line="240" w:lineRule="auto"/>
        <w:rPr>
          <w:rFonts w:ascii="Arial" w:eastAsia="Times New Roman" w:hAnsi="Arial" w:cs="Times New Roman"/>
          <w:b/>
          <w:sz w:val="24"/>
          <w:szCs w:val="20"/>
          <w:lang w:eastAsia="en-GB"/>
        </w:rPr>
      </w:pPr>
    </w:p>
    <w:p w:rsidR="00E3699C" w:rsidRPr="00E3699C" w:rsidRDefault="00E3699C" w:rsidP="00E3699C">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The proposed strategy for the reduction of corporate property holdings has been discussed with relevant service heads with a view to ensuring that the final recommended list of premises to remain as Neighbourhood Centres would align operationally with various delivery plans, e</w:t>
      </w:r>
      <w:r>
        <w:rPr>
          <w:rFonts w:ascii="Arial" w:eastAsia="Times New Roman" w:hAnsi="Arial" w:cs="Times New Roman"/>
          <w:sz w:val="24"/>
          <w:szCs w:val="20"/>
          <w:lang w:eastAsia="en-GB"/>
        </w:rPr>
        <w:t>.</w:t>
      </w:r>
      <w:r w:rsidRPr="00E3699C">
        <w:rPr>
          <w:rFonts w:ascii="Arial" w:eastAsia="Times New Roman" w:hAnsi="Arial" w:cs="Times New Roman"/>
          <w:sz w:val="24"/>
          <w:szCs w:val="20"/>
          <w:lang w:eastAsia="en-GB"/>
        </w:rPr>
        <w:t xml:space="preserve">g., the Libraries Strategy and the Wellbeing, Prevention and Early Health Strategy. </w:t>
      </w:r>
    </w:p>
    <w:p w:rsidR="00E3699C" w:rsidRPr="00E3699C" w:rsidRDefault="00E3699C" w:rsidP="00E3699C">
      <w:pPr>
        <w:spacing w:after="0" w:line="240" w:lineRule="auto"/>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lastRenderedPageBreak/>
        <w:t>Risk Management</w:t>
      </w:r>
    </w:p>
    <w:p w:rsidR="00E3699C" w:rsidRPr="00E3699C" w:rsidRDefault="00E3699C" w:rsidP="00E3699C">
      <w:pPr>
        <w:spacing w:after="0" w:line="240" w:lineRule="auto"/>
        <w:rPr>
          <w:rFonts w:ascii="Arial" w:eastAsia="Times New Roman" w:hAnsi="Arial" w:cs="Times New Roman"/>
          <w:sz w:val="24"/>
          <w:szCs w:val="20"/>
          <w:lang w:eastAsia="en-GB"/>
        </w:rPr>
      </w:pPr>
    </w:p>
    <w:p w:rsidR="00E3699C" w:rsidRDefault="00E3699C" w:rsidP="00E3699C">
      <w:pPr>
        <w:spacing w:after="0" w:line="240" w:lineRule="auto"/>
        <w:jc w:val="both"/>
        <w:rPr>
          <w:rFonts w:ascii="Arial" w:eastAsia="Times New Roman" w:hAnsi="Arial" w:cs="Arial"/>
          <w:sz w:val="24"/>
          <w:szCs w:val="20"/>
          <w:lang w:eastAsia="en-GB"/>
        </w:rPr>
      </w:pPr>
      <w:r w:rsidRPr="00E3699C">
        <w:rPr>
          <w:rFonts w:ascii="Arial" w:eastAsia="Times New Roman" w:hAnsi="Arial" w:cs="Arial"/>
          <w:sz w:val="24"/>
          <w:szCs w:val="20"/>
          <w:lang w:eastAsia="en-GB"/>
        </w:rPr>
        <w:t xml:space="preserve">The </w:t>
      </w:r>
      <w:r w:rsidR="00E7172F">
        <w:rPr>
          <w:rFonts w:ascii="Arial" w:eastAsia="Times New Roman" w:hAnsi="Arial" w:cs="Arial"/>
          <w:sz w:val="24"/>
          <w:szCs w:val="20"/>
          <w:lang w:eastAsia="en-GB"/>
        </w:rPr>
        <w:t>Property</w:t>
      </w:r>
      <w:r w:rsidRPr="00E3699C">
        <w:rPr>
          <w:rFonts w:ascii="Arial" w:eastAsia="Times New Roman" w:hAnsi="Arial" w:cs="Arial"/>
          <w:sz w:val="24"/>
          <w:szCs w:val="20"/>
          <w:lang w:eastAsia="en-GB"/>
        </w:rPr>
        <w:t xml:space="preserve"> Strategy (Neighbourhood Centres) will provide the premises framework for the delivery of other key strategies and plans in the County Council.</w:t>
      </w:r>
      <w:r w:rsidR="00E7172F">
        <w:rPr>
          <w:rFonts w:ascii="Arial" w:eastAsia="Times New Roman" w:hAnsi="Arial" w:cs="Arial"/>
          <w:sz w:val="24"/>
          <w:szCs w:val="20"/>
          <w:lang w:eastAsia="en-GB"/>
        </w:rPr>
        <w:t xml:space="preserve">  </w:t>
      </w:r>
      <w:r w:rsidRPr="00E3699C">
        <w:rPr>
          <w:rFonts w:ascii="Arial" w:eastAsia="Times New Roman" w:hAnsi="Arial" w:cs="Arial"/>
          <w:sz w:val="24"/>
          <w:szCs w:val="20"/>
          <w:lang w:eastAsia="en-GB"/>
        </w:rPr>
        <w:t>Not a</w:t>
      </w:r>
      <w:r w:rsidR="00FF204F">
        <w:rPr>
          <w:rFonts w:ascii="Arial" w:eastAsia="Times New Roman" w:hAnsi="Arial" w:cs="Arial"/>
          <w:sz w:val="24"/>
          <w:szCs w:val="20"/>
          <w:lang w:eastAsia="en-GB"/>
        </w:rPr>
        <w:t>pproving</w:t>
      </w:r>
      <w:r w:rsidRPr="00E3699C">
        <w:rPr>
          <w:rFonts w:ascii="Arial" w:eastAsia="Times New Roman" w:hAnsi="Arial" w:cs="Arial"/>
          <w:sz w:val="24"/>
          <w:szCs w:val="20"/>
          <w:lang w:eastAsia="en-GB"/>
        </w:rPr>
        <w:t xml:space="preserve"> the draft strategy w</w:t>
      </w:r>
      <w:r w:rsidR="00FF204F">
        <w:rPr>
          <w:rFonts w:ascii="Arial" w:eastAsia="Times New Roman" w:hAnsi="Arial" w:cs="Arial"/>
          <w:sz w:val="24"/>
          <w:szCs w:val="20"/>
          <w:lang w:eastAsia="en-GB"/>
        </w:rPr>
        <w:t>ould</w:t>
      </w:r>
      <w:r w:rsidRPr="00E3699C">
        <w:rPr>
          <w:rFonts w:ascii="Arial" w:eastAsia="Times New Roman" w:hAnsi="Arial" w:cs="Arial"/>
          <w:sz w:val="24"/>
          <w:szCs w:val="20"/>
          <w:lang w:eastAsia="en-GB"/>
        </w:rPr>
        <w:t xml:space="preserve"> mean that the County Council is potentially unable to progress work to ensure the delivery of appropriately targeted and financially viable services for the future.  It would also mean that the sustained long term reductions in revenue running costs and a reduction in necessary capital investment in premises would not be realised.</w:t>
      </w:r>
    </w:p>
    <w:p w:rsidR="007E1B6E" w:rsidRPr="00E3699C" w:rsidRDefault="007E1B6E" w:rsidP="00E3699C">
      <w:pPr>
        <w:spacing w:after="0" w:line="240" w:lineRule="auto"/>
        <w:jc w:val="both"/>
        <w:rPr>
          <w:rFonts w:ascii="Arial" w:eastAsia="Times New Roman" w:hAnsi="Arial" w:cs="Arial"/>
          <w:sz w:val="24"/>
          <w:szCs w:val="20"/>
          <w:lang w:eastAsia="en-GB"/>
        </w:rPr>
      </w:pPr>
    </w:p>
    <w:p w:rsidR="005219FB" w:rsidRPr="005219FB" w:rsidRDefault="005219FB" w:rsidP="005219FB">
      <w:pPr>
        <w:spacing w:after="0" w:line="240" w:lineRule="auto"/>
        <w:rPr>
          <w:rFonts w:ascii="Arial" w:eastAsia="Times New Roman" w:hAnsi="Arial" w:cs="Times New Roman"/>
          <w:b/>
          <w:sz w:val="24"/>
          <w:szCs w:val="20"/>
          <w:lang w:eastAsia="en-GB"/>
        </w:rPr>
      </w:pPr>
      <w:r w:rsidRPr="005219FB">
        <w:rPr>
          <w:rFonts w:ascii="Arial" w:eastAsia="Times New Roman" w:hAnsi="Arial" w:cs="Times New Roman"/>
          <w:b/>
          <w:sz w:val="24"/>
          <w:szCs w:val="20"/>
          <w:lang w:eastAsia="en-GB"/>
        </w:rPr>
        <w:t xml:space="preserve">Equality Analysis </w:t>
      </w:r>
    </w:p>
    <w:p w:rsidR="005219FB" w:rsidRDefault="005219FB" w:rsidP="005219FB">
      <w:pPr>
        <w:spacing w:after="0" w:line="240" w:lineRule="auto"/>
        <w:rPr>
          <w:rFonts w:ascii="Arial" w:eastAsia="Times New Roman" w:hAnsi="Arial" w:cs="Times New Roman"/>
          <w:sz w:val="24"/>
          <w:szCs w:val="20"/>
          <w:lang w:eastAsia="en-GB"/>
        </w:rPr>
      </w:pPr>
    </w:p>
    <w:p w:rsidR="005219FB" w:rsidRPr="005219FB" w:rsidRDefault="005219FB" w:rsidP="005219FB">
      <w:pPr>
        <w:spacing w:after="0" w:line="240" w:lineRule="auto"/>
        <w:rPr>
          <w:rFonts w:ascii="Arial" w:hAnsi="Arial" w:cs="Arial"/>
          <w:sz w:val="24"/>
          <w:szCs w:val="24"/>
        </w:rPr>
      </w:pPr>
      <w:r w:rsidRPr="005219FB">
        <w:rPr>
          <w:rFonts w:ascii="Arial" w:hAnsi="Arial" w:cs="Arial"/>
          <w:sz w:val="24"/>
          <w:szCs w:val="24"/>
        </w:rPr>
        <w:t>Members are asked to note that a separate report for this meeting has been prepared by the Director of Governance, Finance and Public Services. The report outlines in detail our obligations in terms of the Equality Act 2010 and specifically highlights section 149 of the act that refers to the Public Sector Equality Duty (PSED). In addition, the report explains how the legislation is applied in practice.</w:t>
      </w:r>
    </w:p>
    <w:p w:rsidR="005219FB" w:rsidRDefault="005219FB" w:rsidP="005219FB">
      <w:pPr>
        <w:spacing w:after="0" w:line="240" w:lineRule="auto"/>
        <w:jc w:val="both"/>
        <w:rPr>
          <w:rFonts w:ascii="Arial" w:eastAsia="Times New Roman" w:hAnsi="Arial" w:cs="Times New Roman"/>
          <w:sz w:val="24"/>
          <w:szCs w:val="20"/>
          <w:lang w:eastAsia="en-GB"/>
        </w:rPr>
      </w:pPr>
    </w:p>
    <w:p w:rsidR="00E3699C" w:rsidRPr="00E3699C" w:rsidRDefault="00C01A5D" w:rsidP="005219FB">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The </w:t>
      </w:r>
      <w:r w:rsidR="00E3699C" w:rsidRPr="00E3699C">
        <w:rPr>
          <w:rFonts w:ascii="Arial" w:eastAsia="Times New Roman" w:hAnsi="Arial" w:cs="Times New Roman"/>
          <w:sz w:val="24"/>
          <w:szCs w:val="20"/>
          <w:lang w:eastAsia="en-GB"/>
        </w:rPr>
        <w:t xml:space="preserve">Equality Analysis </w:t>
      </w:r>
      <w:r w:rsidR="006E4979">
        <w:rPr>
          <w:rFonts w:ascii="Arial" w:eastAsia="Times New Roman" w:hAnsi="Arial" w:cs="Times New Roman"/>
          <w:sz w:val="24"/>
          <w:szCs w:val="20"/>
          <w:lang w:eastAsia="en-GB"/>
        </w:rPr>
        <w:t xml:space="preserve">is attached at Appendix </w:t>
      </w:r>
      <w:r w:rsidR="00007003">
        <w:rPr>
          <w:rFonts w:ascii="Arial" w:eastAsia="Times New Roman" w:hAnsi="Arial" w:cs="Times New Roman"/>
          <w:sz w:val="24"/>
          <w:szCs w:val="20"/>
          <w:lang w:eastAsia="en-GB"/>
        </w:rPr>
        <w:t>'</w:t>
      </w:r>
      <w:r>
        <w:rPr>
          <w:rFonts w:ascii="Arial" w:eastAsia="Times New Roman" w:hAnsi="Arial" w:cs="Times New Roman"/>
          <w:sz w:val="24"/>
          <w:szCs w:val="20"/>
          <w:lang w:eastAsia="en-GB"/>
        </w:rPr>
        <w:t>B</w:t>
      </w:r>
      <w:r w:rsidR="00007003">
        <w:rPr>
          <w:rFonts w:ascii="Arial" w:eastAsia="Times New Roman" w:hAnsi="Arial" w:cs="Times New Roman"/>
          <w:sz w:val="24"/>
          <w:szCs w:val="20"/>
          <w:lang w:eastAsia="en-GB"/>
        </w:rPr>
        <w:t>'</w:t>
      </w:r>
      <w:bookmarkStart w:id="0" w:name="_GoBack"/>
      <w:bookmarkEnd w:id="0"/>
      <w:r w:rsidR="00560A2F">
        <w:rPr>
          <w:rFonts w:ascii="Arial" w:eastAsia="Times New Roman" w:hAnsi="Arial" w:cs="Times New Roman"/>
          <w:sz w:val="24"/>
          <w:szCs w:val="20"/>
          <w:lang w:eastAsia="en-GB"/>
        </w:rPr>
        <w:t>.</w:t>
      </w:r>
    </w:p>
    <w:p w:rsidR="005A3DAC" w:rsidRDefault="005A3DAC" w:rsidP="005219FB">
      <w:pPr>
        <w:spacing w:after="0"/>
        <w:rPr>
          <w:rFonts w:ascii="Arial" w:eastAsia="Times New Roman" w:hAnsi="Arial" w:cs="Times New Roman"/>
          <w:b/>
          <w:sz w:val="24"/>
          <w:szCs w:val="20"/>
          <w:lang w:eastAsia="en-GB"/>
        </w:rPr>
      </w:pPr>
    </w:p>
    <w:p w:rsidR="00E3699C" w:rsidRPr="00E3699C" w:rsidRDefault="00E3699C" w:rsidP="005219FB">
      <w:pPr>
        <w:spacing w:after="0" w:line="240" w:lineRule="auto"/>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Financial</w:t>
      </w:r>
    </w:p>
    <w:p w:rsidR="00E3699C" w:rsidRPr="00E3699C" w:rsidRDefault="00E3699C" w:rsidP="00E3699C">
      <w:pPr>
        <w:spacing w:after="0" w:line="240" w:lineRule="auto"/>
        <w:rPr>
          <w:rFonts w:ascii="Arial" w:eastAsia="Times New Roman" w:hAnsi="Arial" w:cs="Times New Roman"/>
          <w:b/>
          <w:sz w:val="24"/>
          <w:szCs w:val="20"/>
          <w:lang w:eastAsia="en-GB"/>
        </w:rPr>
      </w:pPr>
    </w:p>
    <w:p w:rsidR="00E3699C" w:rsidRDefault="00E3699C" w:rsidP="007E49B5">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If the proposals contained within the report are approved there will be a reduction in revenue running costs from corporate premises.  An initial investment in condition, suitability and sufficiency of the remaining premises would be required but this would to some degree be offset by the capital receipt from </w:t>
      </w:r>
      <w:r w:rsidR="000D5A8D">
        <w:rPr>
          <w:rFonts w:ascii="Arial" w:eastAsia="Times New Roman" w:hAnsi="Arial" w:cs="Times New Roman"/>
          <w:sz w:val="24"/>
          <w:szCs w:val="20"/>
          <w:lang w:eastAsia="en-GB"/>
        </w:rPr>
        <w:t xml:space="preserve">owned or freehold </w:t>
      </w:r>
      <w:r w:rsidRPr="00E3699C">
        <w:rPr>
          <w:rFonts w:ascii="Arial" w:eastAsia="Times New Roman" w:hAnsi="Arial" w:cs="Times New Roman"/>
          <w:sz w:val="24"/>
          <w:szCs w:val="20"/>
          <w:lang w:eastAsia="en-GB"/>
        </w:rPr>
        <w:t>premises vacated and disposed of and the reduced requirement for investment in condition works of the vacated premises.</w:t>
      </w:r>
      <w:r w:rsidR="008F28E1">
        <w:rPr>
          <w:rFonts w:ascii="Arial" w:eastAsia="Times New Roman" w:hAnsi="Arial" w:cs="Times New Roman"/>
          <w:sz w:val="24"/>
          <w:szCs w:val="20"/>
          <w:lang w:eastAsia="en-GB"/>
        </w:rPr>
        <w:t xml:space="preserve">  The detail of the likely financial implications</w:t>
      </w:r>
      <w:r w:rsidR="008223C6">
        <w:rPr>
          <w:rFonts w:ascii="Arial" w:eastAsia="Times New Roman" w:hAnsi="Arial" w:cs="Times New Roman"/>
          <w:sz w:val="24"/>
          <w:szCs w:val="20"/>
          <w:lang w:eastAsia="en-GB"/>
        </w:rPr>
        <w:t xml:space="preserve"> </w:t>
      </w:r>
      <w:r w:rsidR="000D0361">
        <w:rPr>
          <w:rFonts w:ascii="Arial" w:eastAsia="Times New Roman" w:hAnsi="Arial" w:cs="Times New Roman"/>
          <w:sz w:val="24"/>
          <w:szCs w:val="20"/>
          <w:lang w:eastAsia="en-GB"/>
        </w:rPr>
        <w:t xml:space="preserve">based upon the analysis from a scoping exercise undertaken to estimate the impact of the proposed strategy </w:t>
      </w:r>
      <w:r w:rsidR="008223C6">
        <w:rPr>
          <w:rFonts w:ascii="Arial" w:eastAsia="Times New Roman" w:hAnsi="Arial" w:cs="Times New Roman"/>
          <w:sz w:val="24"/>
          <w:szCs w:val="20"/>
          <w:lang w:eastAsia="en-GB"/>
        </w:rPr>
        <w:t>is as follows:-</w:t>
      </w:r>
    </w:p>
    <w:p w:rsidR="008F28E1" w:rsidRDefault="008F28E1" w:rsidP="007E49B5">
      <w:pPr>
        <w:spacing w:after="0" w:line="240" w:lineRule="auto"/>
        <w:jc w:val="both"/>
        <w:rPr>
          <w:rFonts w:ascii="Arial" w:eastAsia="Times New Roman" w:hAnsi="Arial" w:cs="Times New Roman"/>
          <w:sz w:val="24"/>
          <w:szCs w:val="20"/>
          <w:lang w:eastAsia="en-GB"/>
        </w:rPr>
      </w:pPr>
    </w:p>
    <w:p w:rsidR="008F28E1" w:rsidRDefault="008F28E1" w:rsidP="008F28E1">
      <w:pPr>
        <w:spacing w:after="0" w:line="240" w:lineRule="auto"/>
        <w:jc w:val="both"/>
        <w:rPr>
          <w:rFonts w:ascii="Arial" w:eastAsia="Times New Roman" w:hAnsi="Arial" w:cs="Times New Roman"/>
          <w:sz w:val="24"/>
          <w:szCs w:val="20"/>
          <w:lang w:eastAsia="en-GB"/>
        </w:rPr>
      </w:pPr>
      <w:r w:rsidRPr="008F28E1">
        <w:rPr>
          <w:rFonts w:ascii="Arial" w:eastAsia="Times New Roman" w:hAnsi="Arial" w:cs="Times New Roman"/>
          <w:sz w:val="24"/>
          <w:szCs w:val="20"/>
          <w:lang w:eastAsia="en-GB"/>
        </w:rPr>
        <w:t xml:space="preserve">Total </w:t>
      </w:r>
      <w:r w:rsidR="00560A2F">
        <w:rPr>
          <w:rFonts w:ascii="Arial" w:eastAsia="Times New Roman" w:hAnsi="Arial" w:cs="Times New Roman"/>
          <w:sz w:val="24"/>
          <w:szCs w:val="20"/>
          <w:lang w:eastAsia="en-GB"/>
        </w:rPr>
        <w:t>c</w:t>
      </w:r>
      <w:r w:rsidR="008223C6">
        <w:rPr>
          <w:rFonts w:ascii="Arial" w:eastAsia="Times New Roman" w:hAnsi="Arial" w:cs="Times New Roman"/>
          <w:sz w:val="24"/>
          <w:szCs w:val="20"/>
          <w:lang w:eastAsia="en-GB"/>
        </w:rPr>
        <w:t xml:space="preserve">urrent </w:t>
      </w:r>
      <w:r w:rsidR="00560A2F">
        <w:rPr>
          <w:rFonts w:ascii="Arial" w:eastAsia="Times New Roman" w:hAnsi="Arial" w:cs="Times New Roman"/>
          <w:sz w:val="24"/>
          <w:szCs w:val="20"/>
          <w:lang w:eastAsia="en-GB"/>
        </w:rPr>
        <w:t>r</w:t>
      </w:r>
      <w:r w:rsidRPr="008F28E1">
        <w:rPr>
          <w:rFonts w:ascii="Arial" w:eastAsia="Times New Roman" w:hAnsi="Arial" w:cs="Times New Roman"/>
          <w:sz w:val="24"/>
          <w:szCs w:val="20"/>
          <w:lang w:eastAsia="en-GB"/>
        </w:rPr>
        <w:t xml:space="preserve">unning </w:t>
      </w:r>
      <w:r w:rsidR="00560A2F">
        <w:rPr>
          <w:rFonts w:ascii="Arial" w:eastAsia="Times New Roman" w:hAnsi="Arial" w:cs="Times New Roman"/>
          <w:sz w:val="24"/>
          <w:szCs w:val="20"/>
          <w:lang w:eastAsia="en-GB"/>
        </w:rPr>
        <w:t>c</w:t>
      </w:r>
      <w:r w:rsidRPr="008F28E1">
        <w:rPr>
          <w:rFonts w:ascii="Arial" w:eastAsia="Times New Roman" w:hAnsi="Arial" w:cs="Times New Roman"/>
          <w:sz w:val="24"/>
          <w:szCs w:val="20"/>
          <w:lang w:eastAsia="en-GB"/>
        </w:rPr>
        <w:t xml:space="preserve">osts of 220 </w:t>
      </w:r>
      <w:r w:rsidR="00560A2F">
        <w:rPr>
          <w:rFonts w:ascii="Arial" w:eastAsia="Times New Roman" w:hAnsi="Arial" w:cs="Times New Roman"/>
          <w:sz w:val="24"/>
          <w:szCs w:val="20"/>
          <w:lang w:eastAsia="en-GB"/>
        </w:rPr>
        <w:t>p</w:t>
      </w:r>
      <w:r w:rsidRPr="008F28E1">
        <w:rPr>
          <w:rFonts w:ascii="Arial" w:eastAsia="Times New Roman" w:hAnsi="Arial" w:cs="Times New Roman"/>
          <w:sz w:val="24"/>
          <w:szCs w:val="20"/>
          <w:lang w:eastAsia="en-GB"/>
        </w:rPr>
        <w:t>remises</w:t>
      </w:r>
      <w:r w:rsidR="008223C6">
        <w:rPr>
          <w:rFonts w:ascii="Arial" w:eastAsia="Times New Roman" w:hAnsi="Arial" w:cs="Times New Roman"/>
          <w:sz w:val="24"/>
          <w:szCs w:val="20"/>
          <w:lang w:eastAsia="en-GB"/>
        </w:rPr>
        <w:tab/>
      </w:r>
      <w:r w:rsidR="008223C6">
        <w:rPr>
          <w:rFonts w:ascii="Arial" w:eastAsia="Times New Roman" w:hAnsi="Arial" w:cs="Times New Roman"/>
          <w:sz w:val="24"/>
          <w:szCs w:val="20"/>
          <w:lang w:eastAsia="en-GB"/>
        </w:rPr>
        <w:tab/>
      </w:r>
      <w:r w:rsidR="008223C6">
        <w:rPr>
          <w:rFonts w:ascii="Arial" w:eastAsia="Times New Roman" w:hAnsi="Arial" w:cs="Times New Roman"/>
          <w:sz w:val="24"/>
          <w:szCs w:val="20"/>
          <w:lang w:eastAsia="en-GB"/>
        </w:rPr>
        <w:tab/>
      </w:r>
      <w:r w:rsidR="008223C6">
        <w:rPr>
          <w:rFonts w:ascii="Arial" w:eastAsia="Times New Roman" w:hAnsi="Arial" w:cs="Times New Roman"/>
          <w:sz w:val="24"/>
          <w:szCs w:val="20"/>
          <w:lang w:eastAsia="en-GB"/>
        </w:rPr>
        <w:tab/>
      </w:r>
      <w:r w:rsidRPr="008F28E1">
        <w:rPr>
          <w:rFonts w:ascii="Arial" w:eastAsia="Times New Roman" w:hAnsi="Arial" w:cs="Times New Roman"/>
          <w:sz w:val="24"/>
          <w:szCs w:val="20"/>
          <w:lang w:eastAsia="en-GB"/>
        </w:rPr>
        <w:t>£6.4 million</w:t>
      </w:r>
    </w:p>
    <w:p w:rsidR="0069272E" w:rsidRPr="008F28E1" w:rsidRDefault="0069272E" w:rsidP="008F28E1">
      <w:pPr>
        <w:spacing w:after="0" w:line="240" w:lineRule="auto"/>
        <w:jc w:val="both"/>
        <w:rPr>
          <w:rFonts w:ascii="Arial" w:eastAsia="Times New Roman" w:hAnsi="Arial" w:cs="Times New Roman"/>
          <w:sz w:val="24"/>
          <w:szCs w:val="20"/>
          <w:lang w:eastAsia="en-GB"/>
        </w:rPr>
      </w:pPr>
    </w:p>
    <w:p w:rsidR="008F28E1" w:rsidRDefault="00560A2F" w:rsidP="008F28E1">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Estimated r</w:t>
      </w:r>
      <w:r w:rsidR="008F28E1" w:rsidRPr="008F28E1">
        <w:rPr>
          <w:rFonts w:ascii="Arial" w:eastAsia="Times New Roman" w:hAnsi="Arial" w:cs="Times New Roman"/>
          <w:sz w:val="24"/>
          <w:szCs w:val="20"/>
          <w:lang w:eastAsia="en-GB"/>
        </w:rPr>
        <w:t xml:space="preserve">unning </w:t>
      </w:r>
      <w:r>
        <w:rPr>
          <w:rFonts w:ascii="Arial" w:eastAsia="Times New Roman" w:hAnsi="Arial" w:cs="Times New Roman"/>
          <w:sz w:val="24"/>
          <w:szCs w:val="20"/>
          <w:lang w:eastAsia="en-GB"/>
        </w:rPr>
        <w:t>c</w:t>
      </w:r>
      <w:r w:rsidR="008F28E1" w:rsidRPr="008F28E1">
        <w:rPr>
          <w:rFonts w:ascii="Arial" w:eastAsia="Times New Roman" w:hAnsi="Arial" w:cs="Times New Roman"/>
          <w:sz w:val="24"/>
          <w:szCs w:val="20"/>
          <w:lang w:eastAsia="en-GB"/>
        </w:rPr>
        <w:t xml:space="preserve">osts </w:t>
      </w:r>
      <w:r>
        <w:rPr>
          <w:rFonts w:ascii="Arial" w:eastAsia="Times New Roman" w:hAnsi="Arial" w:cs="Times New Roman"/>
          <w:sz w:val="24"/>
          <w:szCs w:val="20"/>
          <w:lang w:eastAsia="en-GB"/>
        </w:rPr>
        <w:t>r</w:t>
      </w:r>
      <w:r w:rsidR="008F28E1" w:rsidRPr="008F28E1">
        <w:rPr>
          <w:rFonts w:ascii="Arial" w:eastAsia="Times New Roman" w:hAnsi="Arial" w:cs="Times New Roman"/>
          <w:sz w:val="24"/>
          <w:szCs w:val="20"/>
          <w:lang w:eastAsia="en-GB"/>
        </w:rPr>
        <w:t>eductions</w:t>
      </w:r>
      <w:r w:rsidR="008223C6">
        <w:rPr>
          <w:rFonts w:ascii="Arial" w:eastAsia="Times New Roman" w:hAnsi="Arial" w:cs="Times New Roman"/>
          <w:sz w:val="24"/>
          <w:szCs w:val="20"/>
          <w:lang w:eastAsia="en-GB"/>
        </w:rPr>
        <w:tab/>
      </w:r>
      <w:r w:rsidR="008223C6">
        <w:rPr>
          <w:rFonts w:ascii="Arial" w:eastAsia="Times New Roman" w:hAnsi="Arial" w:cs="Times New Roman"/>
          <w:sz w:val="24"/>
          <w:szCs w:val="20"/>
          <w:lang w:eastAsia="en-GB"/>
        </w:rPr>
        <w:tab/>
      </w:r>
      <w:r w:rsidR="008223C6">
        <w:rPr>
          <w:rFonts w:ascii="Arial" w:eastAsia="Times New Roman" w:hAnsi="Arial" w:cs="Times New Roman"/>
          <w:sz w:val="24"/>
          <w:szCs w:val="20"/>
          <w:lang w:eastAsia="en-GB"/>
        </w:rPr>
        <w:tab/>
      </w:r>
      <w:r w:rsidR="008223C6">
        <w:rPr>
          <w:rFonts w:ascii="Arial" w:eastAsia="Times New Roman" w:hAnsi="Arial" w:cs="Times New Roman"/>
          <w:sz w:val="24"/>
          <w:szCs w:val="20"/>
          <w:lang w:eastAsia="en-GB"/>
        </w:rPr>
        <w:tab/>
      </w:r>
      <w:r w:rsidR="008223C6">
        <w:rPr>
          <w:rFonts w:ascii="Arial" w:eastAsia="Times New Roman" w:hAnsi="Arial" w:cs="Times New Roman"/>
          <w:sz w:val="24"/>
          <w:szCs w:val="20"/>
          <w:lang w:eastAsia="en-GB"/>
        </w:rPr>
        <w:tab/>
        <w:t>£</w:t>
      </w:r>
      <w:r w:rsidR="008F28E1" w:rsidRPr="008F28E1">
        <w:rPr>
          <w:rFonts w:ascii="Arial" w:eastAsia="Times New Roman" w:hAnsi="Arial" w:cs="Times New Roman"/>
          <w:sz w:val="24"/>
          <w:szCs w:val="20"/>
          <w:lang w:eastAsia="en-GB"/>
        </w:rPr>
        <w:t>1.95 million</w:t>
      </w:r>
    </w:p>
    <w:p w:rsidR="0069272E" w:rsidRPr="008F28E1" w:rsidRDefault="0069272E" w:rsidP="008F28E1">
      <w:pPr>
        <w:spacing w:after="0" w:line="240" w:lineRule="auto"/>
        <w:jc w:val="both"/>
        <w:rPr>
          <w:rFonts w:ascii="Arial" w:eastAsia="Times New Roman" w:hAnsi="Arial" w:cs="Times New Roman"/>
          <w:sz w:val="24"/>
          <w:szCs w:val="20"/>
          <w:lang w:eastAsia="en-GB"/>
        </w:rPr>
      </w:pPr>
    </w:p>
    <w:p w:rsidR="000D0361" w:rsidRDefault="00560A2F" w:rsidP="008F28E1">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Estimated c</w:t>
      </w:r>
      <w:r w:rsidR="008F28E1" w:rsidRPr="008F28E1">
        <w:rPr>
          <w:rFonts w:ascii="Arial" w:eastAsia="Times New Roman" w:hAnsi="Arial" w:cs="Times New Roman"/>
          <w:sz w:val="24"/>
          <w:szCs w:val="20"/>
          <w:lang w:eastAsia="en-GB"/>
        </w:rPr>
        <w:t xml:space="preserve">ondition </w:t>
      </w:r>
      <w:r>
        <w:rPr>
          <w:rFonts w:ascii="Arial" w:eastAsia="Times New Roman" w:hAnsi="Arial" w:cs="Times New Roman"/>
          <w:sz w:val="24"/>
          <w:szCs w:val="20"/>
          <w:lang w:eastAsia="en-GB"/>
        </w:rPr>
        <w:t>based i</w:t>
      </w:r>
      <w:r w:rsidR="008F28E1" w:rsidRPr="008F28E1">
        <w:rPr>
          <w:rFonts w:ascii="Arial" w:eastAsia="Times New Roman" w:hAnsi="Arial" w:cs="Times New Roman"/>
          <w:sz w:val="24"/>
          <w:szCs w:val="20"/>
          <w:lang w:eastAsia="en-GB"/>
        </w:rPr>
        <w:t xml:space="preserve">nvestment </w:t>
      </w:r>
      <w:r>
        <w:rPr>
          <w:rFonts w:ascii="Arial" w:eastAsia="Times New Roman" w:hAnsi="Arial" w:cs="Times New Roman"/>
          <w:sz w:val="24"/>
          <w:szCs w:val="20"/>
          <w:lang w:eastAsia="en-GB"/>
        </w:rPr>
        <w:t>r</w:t>
      </w:r>
      <w:r w:rsidR="008F28E1" w:rsidRPr="008F28E1">
        <w:rPr>
          <w:rFonts w:ascii="Arial" w:eastAsia="Times New Roman" w:hAnsi="Arial" w:cs="Times New Roman"/>
          <w:sz w:val="24"/>
          <w:szCs w:val="20"/>
          <w:lang w:eastAsia="en-GB"/>
        </w:rPr>
        <w:t>equired</w:t>
      </w:r>
      <w:r w:rsidR="000D0361">
        <w:rPr>
          <w:rFonts w:ascii="Arial" w:eastAsia="Times New Roman" w:hAnsi="Arial" w:cs="Times New Roman"/>
          <w:sz w:val="24"/>
          <w:szCs w:val="20"/>
          <w:lang w:eastAsia="en-GB"/>
        </w:rPr>
        <w:tab/>
      </w:r>
      <w:r w:rsidR="000D0361">
        <w:rPr>
          <w:rFonts w:ascii="Arial" w:eastAsia="Times New Roman" w:hAnsi="Arial" w:cs="Times New Roman"/>
          <w:sz w:val="24"/>
          <w:szCs w:val="20"/>
          <w:lang w:eastAsia="en-GB"/>
        </w:rPr>
        <w:tab/>
      </w:r>
      <w:r>
        <w:rPr>
          <w:rFonts w:ascii="Arial" w:eastAsia="Times New Roman" w:hAnsi="Arial" w:cs="Times New Roman"/>
          <w:sz w:val="24"/>
          <w:szCs w:val="20"/>
          <w:lang w:eastAsia="en-GB"/>
        </w:rPr>
        <w:tab/>
      </w:r>
      <w:r w:rsidR="000D0361">
        <w:rPr>
          <w:rFonts w:ascii="Arial" w:eastAsia="Times New Roman" w:hAnsi="Arial" w:cs="Times New Roman"/>
          <w:sz w:val="24"/>
          <w:szCs w:val="20"/>
          <w:lang w:eastAsia="en-GB"/>
        </w:rPr>
        <w:tab/>
        <w:t>£8.4 million</w:t>
      </w:r>
    </w:p>
    <w:p w:rsidR="008F28E1" w:rsidRDefault="008F28E1" w:rsidP="008F28E1">
      <w:pPr>
        <w:spacing w:after="0" w:line="240" w:lineRule="auto"/>
        <w:jc w:val="both"/>
        <w:rPr>
          <w:rFonts w:ascii="Arial" w:eastAsia="Times New Roman" w:hAnsi="Arial" w:cs="Times New Roman"/>
          <w:sz w:val="24"/>
          <w:szCs w:val="20"/>
          <w:lang w:eastAsia="en-GB"/>
        </w:rPr>
      </w:pPr>
      <w:r w:rsidRPr="008F28E1">
        <w:rPr>
          <w:rFonts w:ascii="Arial" w:eastAsia="Times New Roman" w:hAnsi="Arial" w:cs="Times New Roman"/>
          <w:sz w:val="24"/>
          <w:szCs w:val="20"/>
          <w:lang w:eastAsia="en-GB"/>
        </w:rPr>
        <w:t>(</w:t>
      </w:r>
      <w:proofErr w:type="gramStart"/>
      <w:r w:rsidRPr="008F28E1">
        <w:rPr>
          <w:rFonts w:ascii="Arial" w:eastAsia="Times New Roman" w:hAnsi="Arial" w:cs="Times New Roman"/>
          <w:sz w:val="24"/>
          <w:szCs w:val="20"/>
          <w:lang w:eastAsia="en-GB"/>
        </w:rPr>
        <w:t>ba</w:t>
      </w:r>
      <w:r w:rsidR="000D0361">
        <w:rPr>
          <w:rFonts w:ascii="Arial" w:eastAsia="Times New Roman" w:hAnsi="Arial" w:cs="Times New Roman"/>
          <w:sz w:val="24"/>
          <w:szCs w:val="20"/>
          <w:lang w:eastAsia="en-GB"/>
        </w:rPr>
        <w:t>sed</w:t>
      </w:r>
      <w:proofErr w:type="gramEnd"/>
      <w:r w:rsidR="000D0361">
        <w:rPr>
          <w:rFonts w:ascii="Arial" w:eastAsia="Times New Roman" w:hAnsi="Arial" w:cs="Times New Roman"/>
          <w:sz w:val="24"/>
          <w:szCs w:val="20"/>
          <w:lang w:eastAsia="en-GB"/>
        </w:rPr>
        <w:t xml:space="preserve"> on</w:t>
      </w:r>
      <w:r w:rsidR="00560A2F">
        <w:rPr>
          <w:rFonts w:ascii="Arial" w:eastAsia="Times New Roman" w:hAnsi="Arial" w:cs="Times New Roman"/>
          <w:sz w:val="24"/>
          <w:szCs w:val="20"/>
          <w:lang w:eastAsia="en-GB"/>
        </w:rPr>
        <w:t xml:space="preserve"> </w:t>
      </w:r>
      <w:r w:rsidR="000D0361">
        <w:rPr>
          <w:rFonts w:ascii="Arial" w:eastAsia="Times New Roman" w:hAnsi="Arial" w:cs="Times New Roman"/>
          <w:sz w:val="24"/>
          <w:szCs w:val="20"/>
          <w:lang w:eastAsia="en-GB"/>
        </w:rPr>
        <w:t>112 premises from scoping exercise)</w:t>
      </w:r>
    </w:p>
    <w:p w:rsidR="0069272E" w:rsidRPr="008F28E1" w:rsidRDefault="0069272E" w:rsidP="008F28E1">
      <w:pPr>
        <w:spacing w:after="0" w:line="240" w:lineRule="auto"/>
        <w:jc w:val="both"/>
        <w:rPr>
          <w:rFonts w:ascii="Arial" w:eastAsia="Times New Roman" w:hAnsi="Arial" w:cs="Times New Roman"/>
          <w:sz w:val="24"/>
          <w:szCs w:val="20"/>
          <w:lang w:eastAsia="en-GB"/>
        </w:rPr>
      </w:pPr>
    </w:p>
    <w:p w:rsidR="008F28E1" w:rsidRPr="008F28E1" w:rsidRDefault="008F28E1" w:rsidP="008F28E1">
      <w:pPr>
        <w:spacing w:after="0" w:line="240" w:lineRule="auto"/>
        <w:jc w:val="both"/>
        <w:rPr>
          <w:rFonts w:ascii="Arial" w:eastAsia="Times New Roman" w:hAnsi="Arial" w:cs="Times New Roman"/>
          <w:sz w:val="24"/>
          <w:szCs w:val="20"/>
          <w:lang w:eastAsia="en-GB"/>
        </w:rPr>
      </w:pPr>
      <w:r w:rsidRPr="008F28E1">
        <w:rPr>
          <w:rFonts w:ascii="Arial" w:eastAsia="Times New Roman" w:hAnsi="Arial" w:cs="Times New Roman"/>
          <w:sz w:val="24"/>
          <w:szCs w:val="20"/>
          <w:lang w:eastAsia="en-GB"/>
        </w:rPr>
        <w:t xml:space="preserve">Estimated </w:t>
      </w:r>
      <w:r w:rsidR="00560A2F">
        <w:rPr>
          <w:rFonts w:ascii="Arial" w:eastAsia="Times New Roman" w:hAnsi="Arial" w:cs="Times New Roman"/>
          <w:sz w:val="24"/>
          <w:szCs w:val="20"/>
          <w:lang w:eastAsia="en-GB"/>
        </w:rPr>
        <w:t>c</w:t>
      </w:r>
      <w:r w:rsidRPr="008F28E1">
        <w:rPr>
          <w:rFonts w:ascii="Arial" w:eastAsia="Times New Roman" w:hAnsi="Arial" w:cs="Times New Roman"/>
          <w:sz w:val="24"/>
          <w:szCs w:val="20"/>
          <w:lang w:eastAsia="en-GB"/>
        </w:rPr>
        <w:t xml:space="preserve">ondition </w:t>
      </w:r>
      <w:r w:rsidR="00560A2F">
        <w:rPr>
          <w:rFonts w:ascii="Arial" w:eastAsia="Times New Roman" w:hAnsi="Arial" w:cs="Times New Roman"/>
          <w:sz w:val="24"/>
          <w:szCs w:val="20"/>
          <w:lang w:eastAsia="en-GB"/>
        </w:rPr>
        <w:t>based investment cost a</w:t>
      </w:r>
      <w:r w:rsidRPr="008F28E1">
        <w:rPr>
          <w:rFonts w:ascii="Arial" w:eastAsia="Times New Roman" w:hAnsi="Arial" w:cs="Times New Roman"/>
          <w:sz w:val="24"/>
          <w:szCs w:val="20"/>
          <w:lang w:eastAsia="en-GB"/>
        </w:rPr>
        <w:t>voidance</w:t>
      </w:r>
      <w:r w:rsidR="000D0361">
        <w:rPr>
          <w:rFonts w:ascii="Arial" w:eastAsia="Times New Roman" w:hAnsi="Arial" w:cs="Times New Roman"/>
          <w:sz w:val="24"/>
          <w:szCs w:val="20"/>
          <w:lang w:eastAsia="en-GB"/>
        </w:rPr>
        <w:tab/>
      </w:r>
      <w:r w:rsidRPr="008F28E1">
        <w:rPr>
          <w:rFonts w:ascii="Arial" w:eastAsia="Times New Roman" w:hAnsi="Arial" w:cs="Times New Roman"/>
          <w:sz w:val="24"/>
          <w:szCs w:val="20"/>
          <w:lang w:eastAsia="en-GB"/>
        </w:rPr>
        <w:tab/>
      </w:r>
      <w:r w:rsidR="00560A2F">
        <w:rPr>
          <w:rFonts w:ascii="Arial" w:eastAsia="Times New Roman" w:hAnsi="Arial" w:cs="Times New Roman"/>
          <w:sz w:val="24"/>
          <w:szCs w:val="20"/>
          <w:lang w:eastAsia="en-GB"/>
        </w:rPr>
        <w:tab/>
      </w:r>
      <w:r w:rsidRPr="008F28E1">
        <w:rPr>
          <w:rFonts w:ascii="Arial" w:eastAsia="Times New Roman" w:hAnsi="Arial" w:cs="Times New Roman"/>
          <w:sz w:val="24"/>
          <w:szCs w:val="20"/>
          <w:lang w:eastAsia="en-GB"/>
        </w:rPr>
        <w:t>£8.6 million</w:t>
      </w:r>
    </w:p>
    <w:p w:rsidR="000D0361" w:rsidRDefault="000D0361" w:rsidP="008F28E1">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w:t>
      </w:r>
      <w:proofErr w:type="gramStart"/>
      <w:r>
        <w:rPr>
          <w:rFonts w:ascii="Arial" w:eastAsia="Times New Roman" w:hAnsi="Arial" w:cs="Times New Roman"/>
          <w:sz w:val="24"/>
          <w:szCs w:val="20"/>
          <w:lang w:eastAsia="en-GB"/>
        </w:rPr>
        <w:t>based</w:t>
      </w:r>
      <w:proofErr w:type="gramEnd"/>
      <w:r>
        <w:rPr>
          <w:rFonts w:ascii="Arial" w:eastAsia="Times New Roman" w:hAnsi="Arial" w:cs="Times New Roman"/>
          <w:sz w:val="24"/>
          <w:szCs w:val="20"/>
          <w:lang w:eastAsia="en-GB"/>
        </w:rPr>
        <w:t xml:space="preserve"> on work no longer required </w:t>
      </w:r>
      <w:r w:rsidR="00560A2F">
        <w:rPr>
          <w:rFonts w:ascii="Arial" w:eastAsia="Times New Roman" w:hAnsi="Arial" w:cs="Times New Roman"/>
          <w:sz w:val="24"/>
          <w:szCs w:val="20"/>
          <w:lang w:eastAsia="en-GB"/>
        </w:rPr>
        <w:t>to</w:t>
      </w:r>
      <w:r>
        <w:rPr>
          <w:rFonts w:ascii="Arial" w:eastAsia="Times New Roman" w:hAnsi="Arial" w:cs="Times New Roman"/>
          <w:sz w:val="24"/>
          <w:szCs w:val="20"/>
          <w:lang w:eastAsia="en-GB"/>
        </w:rPr>
        <w:t xml:space="preserve"> 108 vacated</w:t>
      </w:r>
    </w:p>
    <w:p w:rsidR="000D0361" w:rsidRDefault="00560A2F" w:rsidP="008F28E1">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p</w:t>
      </w:r>
      <w:r w:rsidR="000D0361">
        <w:rPr>
          <w:rFonts w:ascii="Arial" w:eastAsia="Times New Roman" w:hAnsi="Arial" w:cs="Times New Roman"/>
          <w:sz w:val="24"/>
          <w:szCs w:val="20"/>
          <w:lang w:eastAsia="en-GB"/>
        </w:rPr>
        <w:t>remises from scoping exercise)</w:t>
      </w:r>
    </w:p>
    <w:p w:rsidR="0069272E" w:rsidRDefault="0069272E" w:rsidP="008F28E1">
      <w:pPr>
        <w:spacing w:after="0" w:line="240" w:lineRule="auto"/>
        <w:jc w:val="both"/>
        <w:rPr>
          <w:rFonts w:ascii="Arial" w:eastAsia="Times New Roman" w:hAnsi="Arial" w:cs="Times New Roman"/>
          <w:sz w:val="24"/>
          <w:szCs w:val="20"/>
          <w:lang w:eastAsia="en-GB"/>
        </w:rPr>
      </w:pPr>
    </w:p>
    <w:p w:rsidR="008F28E1" w:rsidRDefault="00560A2F" w:rsidP="008F28E1">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Estimated capital receipt from sale of v</w:t>
      </w:r>
      <w:r w:rsidR="008F28E1" w:rsidRPr="008F28E1">
        <w:rPr>
          <w:rFonts w:ascii="Arial" w:eastAsia="Times New Roman" w:hAnsi="Arial" w:cs="Times New Roman"/>
          <w:sz w:val="24"/>
          <w:szCs w:val="20"/>
          <w:lang w:eastAsia="en-GB"/>
        </w:rPr>
        <w:t xml:space="preserve">acated </w:t>
      </w:r>
      <w:r>
        <w:rPr>
          <w:rFonts w:ascii="Arial" w:eastAsia="Times New Roman" w:hAnsi="Arial" w:cs="Times New Roman"/>
          <w:sz w:val="24"/>
          <w:szCs w:val="20"/>
          <w:lang w:eastAsia="en-GB"/>
        </w:rPr>
        <w:t>p</w:t>
      </w:r>
      <w:r w:rsidR="008F28E1" w:rsidRPr="008F28E1">
        <w:rPr>
          <w:rFonts w:ascii="Arial" w:eastAsia="Times New Roman" w:hAnsi="Arial" w:cs="Times New Roman"/>
          <w:sz w:val="24"/>
          <w:szCs w:val="20"/>
          <w:lang w:eastAsia="en-GB"/>
        </w:rPr>
        <w:t>remises</w:t>
      </w:r>
      <w:r w:rsidR="00AD409F">
        <w:rPr>
          <w:rFonts w:ascii="Arial" w:eastAsia="Times New Roman" w:hAnsi="Arial" w:cs="Times New Roman"/>
          <w:sz w:val="24"/>
          <w:szCs w:val="20"/>
          <w:lang w:eastAsia="en-GB"/>
        </w:rPr>
        <w:tab/>
      </w:r>
      <w:r w:rsidR="00AD409F">
        <w:rPr>
          <w:rFonts w:ascii="Arial" w:eastAsia="Times New Roman" w:hAnsi="Arial" w:cs="Times New Roman"/>
          <w:sz w:val="24"/>
          <w:szCs w:val="20"/>
          <w:lang w:eastAsia="en-GB"/>
        </w:rPr>
        <w:tab/>
      </w:r>
      <w:r w:rsidR="008F28E1" w:rsidRPr="008F28E1">
        <w:rPr>
          <w:rFonts w:ascii="Arial" w:eastAsia="Times New Roman" w:hAnsi="Arial" w:cs="Times New Roman"/>
          <w:sz w:val="24"/>
          <w:szCs w:val="20"/>
          <w:lang w:eastAsia="en-GB"/>
        </w:rPr>
        <w:t>£</w:t>
      </w:r>
      <w:r w:rsidR="008F28E1">
        <w:rPr>
          <w:rFonts w:ascii="Arial" w:eastAsia="Times New Roman" w:hAnsi="Arial" w:cs="Times New Roman"/>
          <w:sz w:val="24"/>
          <w:szCs w:val="20"/>
          <w:lang w:eastAsia="en-GB"/>
        </w:rPr>
        <w:t xml:space="preserve">11 - </w:t>
      </w:r>
      <w:r w:rsidR="008F28E1" w:rsidRPr="008F28E1">
        <w:rPr>
          <w:rFonts w:ascii="Arial" w:eastAsia="Times New Roman" w:hAnsi="Arial" w:cs="Times New Roman"/>
          <w:sz w:val="24"/>
          <w:szCs w:val="20"/>
          <w:lang w:eastAsia="en-GB"/>
        </w:rPr>
        <w:t>14 million</w:t>
      </w:r>
    </w:p>
    <w:p w:rsidR="0069272E" w:rsidRPr="008F28E1" w:rsidRDefault="0069272E" w:rsidP="008F28E1">
      <w:pPr>
        <w:spacing w:after="0" w:line="240" w:lineRule="auto"/>
        <w:jc w:val="both"/>
        <w:rPr>
          <w:rFonts w:ascii="Arial" w:eastAsia="Times New Roman" w:hAnsi="Arial" w:cs="Times New Roman"/>
          <w:sz w:val="24"/>
          <w:szCs w:val="20"/>
          <w:lang w:eastAsia="en-GB"/>
        </w:rPr>
      </w:pPr>
    </w:p>
    <w:p w:rsidR="008F28E1" w:rsidRDefault="00560A2F" w:rsidP="008F28E1">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Estimated d</w:t>
      </w:r>
      <w:r w:rsidR="008F28E1" w:rsidRPr="008F28E1">
        <w:rPr>
          <w:rFonts w:ascii="Arial" w:eastAsia="Times New Roman" w:hAnsi="Arial" w:cs="Times New Roman"/>
          <w:sz w:val="24"/>
          <w:szCs w:val="20"/>
          <w:lang w:eastAsia="en-GB"/>
        </w:rPr>
        <w:t>ilapidati</w:t>
      </w:r>
      <w:r w:rsidR="00AD409F">
        <w:rPr>
          <w:rFonts w:ascii="Arial" w:eastAsia="Times New Roman" w:hAnsi="Arial" w:cs="Times New Roman"/>
          <w:sz w:val="24"/>
          <w:szCs w:val="20"/>
          <w:lang w:eastAsia="en-GB"/>
        </w:rPr>
        <w:t xml:space="preserve">ons </w:t>
      </w:r>
      <w:r>
        <w:rPr>
          <w:rFonts w:ascii="Arial" w:eastAsia="Times New Roman" w:hAnsi="Arial" w:cs="Times New Roman"/>
          <w:sz w:val="24"/>
          <w:szCs w:val="20"/>
          <w:lang w:eastAsia="en-GB"/>
        </w:rPr>
        <w:t>costs (terminated or surrendered l</w:t>
      </w:r>
      <w:r w:rsidR="00AD409F">
        <w:rPr>
          <w:rFonts w:ascii="Arial" w:eastAsia="Times New Roman" w:hAnsi="Arial" w:cs="Times New Roman"/>
          <w:sz w:val="24"/>
          <w:szCs w:val="20"/>
          <w:lang w:eastAsia="en-GB"/>
        </w:rPr>
        <w:t>eases)</w:t>
      </w:r>
      <w:r w:rsidR="00AD409F">
        <w:rPr>
          <w:rFonts w:ascii="Arial" w:eastAsia="Times New Roman" w:hAnsi="Arial" w:cs="Times New Roman"/>
          <w:sz w:val="24"/>
          <w:szCs w:val="20"/>
          <w:lang w:eastAsia="en-GB"/>
        </w:rPr>
        <w:tab/>
      </w:r>
      <w:r w:rsidR="008F28E1" w:rsidRPr="008F28E1">
        <w:rPr>
          <w:rFonts w:ascii="Arial" w:eastAsia="Times New Roman" w:hAnsi="Arial" w:cs="Times New Roman"/>
          <w:sz w:val="24"/>
          <w:szCs w:val="20"/>
          <w:lang w:eastAsia="en-GB"/>
        </w:rPr>
        <w:t>£1-1.5 million</w:t>
      </w:r>
    </w:p>
    <w:p w:rsidR="0069272E" w:rsidRPr="008F28E1" w:rsidRDefault="0069272E" w:rsidP="008F28E1">
      <w:pPr>
        <w:spacing w:after="0" w:line="240" w:lineRule="auto"/>
        <w:jc w:val="both"/>
        <w:rPr>
          <w:rFonts w:ascii="Arial" w:eastAsia="Times New Roman" w:hAnsi="Arial" w:cs="Times New Roman"/>
          <w:sz w:val="24"/>
          <w:szCs w:val="20"/>
          <w:lang w:eastAsia="en-GB"/>
        </w:rPr>
      </w:pPr>
    </w:p>
    <w:p w:rsidR="00AD409F" w:rsidRDefault="00560A2F" w:rsidP="008F28E1">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Estimated possible suitability i</w:t>
      </w:r>
      <w:r w:rsidR="008F28E1" w:rsidRPr="008F28E1">
        <w:rPr>
          <w:rFonts w:ascii="Arial" w:eastAsia="Times New Roman" w:hAnsi="Arial" w:cs="Times New Roman"/>
          <w:sz w:val="24"/>
          <w:szCs w:val="20"/>
          <w:lang w:eastAsia="en-GB"/>
        </w:rPr>
        <w:t xml:space="preserve">nvestment </w:t>
      </w:r>
      <w:r>
        <w:rPr>
          <w:rFonts w:ascii="Arial" w:eastAsia="Times New Roman" w:hAnsi="Arial" w:cs="Times New Roman"/>
          <w:sz w:val="24"/>
          <w:szCs w:val="20"/>
          <w:lang w:eastAsia="en-GB"/>
        </w:rPr>
        <w:t>r</w:t>
      </w:r>
      <w:r w:rsidR="008F28E1" w:rsidRPr="008F28E1">
        <w:rPr>
          <w:rFonts w:ascii="Arial" w:eastAsia="Times New Roman" w:hAnsi="Arial" w:cs="Times New Roman"/>
          <w:sz w:val="24"/>
          <w:szCs w:val="20"/>
          <w:lang w:eastAsia="en-GB"/>
        </w:rPr>
        <w:t>equired</w:t>
      </w:r>
      <w:r w:rsidR="00AD409F">
        <w:rPr>
          <w:rFonts w:ascii="Arial" w:eastAsia="Times New Roman" w:hAnsi="Arial" w:cs="Times New Roman"/>
          <w:sz w:val="24"/>
          <w:szCs w:val="20"/>
          <w:lang w:eastAsia="en-GB"/>
        </w:rPr>
        <w:tab/>
      </w:r>
      <w:r w:rsidR="00AD409F">
        <w:rPr>
          <w:rFonts w:ascii="Arial" w:eastAsia="Times New Roman" w:hAnsi="Arial" w:cs="Times New Roman"/>
          <w:sz w:val="24"/>
          <w:szCs w:val="20"/>
          <w:lang w:eastAsia="en-GB"/>
        </w:rPr>
        <w:tab/>
      </w:r>
      <w:r w:rsidR="00AD409F">
        <w:rPr>
          <w:rFonts w:ascii="Arial" w:eastAsia="Times New Roman" w:hAnsi="Arial" w:cs="Times New Roman"/>
          <w:sz w:val="24"/>
          <w:szCs w:val="20"/>
          <w:lang w:eastAsia="en-GB"/>
        </w:rPr>
        <w:tab/>
        <w:t>£20 million</w:t>
      </w:r>
    </w:p>
    <w:p w:rsidR="008F28E1" w:rsidRPr="00E3699C" w:rsidRDefault="00560A2F" w:rsidP="008F28E1">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lastRenderedPageBreak/>
        <w:t>(20% of r</w:t>
      </w:r>
      <w:r w:rsidR="008F28E1" w:rsidRPr="008F28E1">
        <w:rPr>
          <w:rFonts w:ascii="Arial" w:eastAsia="Times New Roman" w:hAnsi="Arial" w:cs="Times New Roman"/>
          <w:sz w:val="24"/>
          <w:szCs w:val="20"/>
          <w:lang w:eastAsia="en-GB"/>
        </w:rPr>
        <w:t>em</w:t>
      </w:r>
      <w:r w:rsidR="00AD409F">
        <w:rPr>
          <w:rFonts w:ascii="Arial" w:eastAsia="Times New Roman" w:hAnsi="Arial" w:cs="Times New Roman"/>
          <w:sz w:val="24"/>
          <w:szCs w:val="20"/>
          <w:lang w:eastAsia="en-GB"/>
        </w:rPr>
        <w:t xml:space="preserve">aining 112 </w:t>
      </w:r>
      <w:r>
        <w:rPr>
          <w:rFonts w:ascii="Arial" w:eastAsia="Times New Roman" w:hAnsi="Arial" w:cs="Times New Roman"/>
          <w:sz w:val="24"/>
          <w:szCs w:val="20"/>
          <w:lang w:eastAsia="en-GB"/>
        </w:rPr>
        <w:t>p</w:t>
      </w:r>
      <w:r w:rsidR="00AD409F">
        <w:rPr>
          <w:rFonts w:ascii="Arial" w:eastAsia="Times New Roman" w:hAnsi="Arial" w:cs="Times New Roman"/>
          <w:sz w:val="24"/>
          <w:szCs w:val="20"/>
          <w:lang w:eastAsia="en-GB"/>
        </w:rPr>
        <w:t>remises</w:t>
      </w:r>
      <w:r>
        <w:rPr>
          <w:rFonts w:ascii="Arial" w:eastAsia="Times New Roman" w:hAnsi="Arial" w:cs="Times New Roman"/>
          <w:sz w:val="24"/>
          <w:szCs w:val="20"/>
          <w:lang w:eastAsia="en-GB"/>
        </w:rPr>
        <w:t xml:space="preserve"> from scoping exercise</w:t>
      </w:r>
      <w:r w:rsidR="00AD409F">
        <w:rPr>
          <w:rFonts w:ascii="Arial" w:eastAsia="Times New Roman" w:hAnsi="Arial" w:cs="Times New Roman"/>
          <w:sz w:val="24"/>
          <w:szCs w:val="20"/>
          <w:lang w:eastAsia="en-GB"/>
        </w:rPr>
        <w:t>)</w:t>
      </w:r>
    </w:p>
    <w:p w:rsidR="00E3699C" w:rsidRPr="00E3699C" w:rsidRDefault="00E3699C" w:rsidP="007E49B5">
      <w:pPr>
        <w:spacing w:after="0" w:line="240" w:lineRule="auto"/>
        <w:jc w:val="both"/>
        <w:rPr>
          <w:rFonts w:ascii="Arial" w:eastAsia="Times New Roman" w:hAnsi="Arial" w:cs="Times New Roman"/>
          <w:sz w:val="24"/>
          <w:szCs w:val="20"/>
          <w:lang w:eastAsia="en-GB"/>
        </w:rPr>
      </w:pPr>
    </w:p>
    <w:p w:rsidR="00E3699C" w:rsidRPr="00E3699C" w:rsidRDefault="00E3699C" w:rsidP="00E3699C">
      <w:pPr>
        <w:spacing w:after="0" w:line="240" w:lineRule="auto"/>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Property Asset Management</w:t>
      </w:r>
    </w:p>
    <w:p w:rsidR="00E3699C" w:rsidRPr="00E3699C" w:rsidRDefault="00E3699C" w:rsidP="00E3699C">
      <w:pPr>
        <w:spacing w:after="0" w:line="240" w:lineRule="auto"/>
        <w:rPr>
          <w:rFonts w:ascii="Arial" w:eastAsia="Times New Roman" w:hAnsi="Arial" w:cs="Times New Roman"/>
          <w:sz w:val="24"/>
          <w:szCs w:val="20"/>
          <w:lang w:eastAsia="en-GB"/>
        </w:rPr>
      </w:pPr>
    </w:p>
    <w:p w:rsidR="00E3699C" w:rsidRPr="00E3699C" w:rsidRDefault="00E3699C" w:rsidP="00560A2F">
      <w:pPr>
        <w:spacing w:after="0" w:line="240" w:lineRule="auto"/>
        <w:jc w:val="both"/>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If the proposed strategy is implemented there would be a sustained long term reduction in the size of the corporate property portfolio.  Based on the scoping work undertaken to inform the proposed </w:t>
      </w:r>
      <w:r w:rsidR="00860077">
        <w:rPr>
          <w:rFonts w:ascii="Arial" w:eastAsia="Times New Roman" w:hAnsi="Arial" w:cs="Times New Roman"/>
          <w:sz w:val="24"/>
          <w:szCs w:val="20"/>
          <w:lang w:eastAsia="en-GB"/>
        </w:rPr>
        <w:t>Property</w:t>
      </w:r>
      <w:r w:rsidRPr="00E3699C">
        <w:rPr>
          <w:rFonts w:ascii="Arial" w:eastAsia="Times New Roman" w:hAnsi="Arial" w:cs="Times New Roman"/>
          <w:sz w:val="24"/>
          <w:szCs w:val="20"/>
          <w:lang w:eastAsia="en-GB"/>
        </w:rPr>
        <w:t xml:space="preserve"> Strategy, there would be a reduction in the corporate property portfolio of some 108 premises.</w:t>
      </w:r>
    </w:p>
    <w:p w:rsidR="00E3699C" w:rsidRPr="00E3699C" w:rsidRDefault="00E3699C" w:rsidP="00560A2F">
      <w:pPr>
        <w:keepNext/>
        <w:spacing w:after="0" w:line="240" w:lineRule="auto"/>
        <w:jc w:val="both"/>
        <w:outlineLvl w:val="4"/>
        <w:rPr>
          <w:rFonts w:ascii="Arial" w:eastAsia="Times New Roman" w:hAnsi="Arial" w:cs="Times New Roman"/>
          <w:b/>
          <w:sz w:val="24"/>
          <w:szCs w:val="20"/>
          <w:lang w:eastAsia="en-GB"/>
        </w:rPr>
      </w:pPr>
    </w:p>
    <w:p w:rsidR="00E3699C" w:rsidRPr="00E3699C" w:rsidRDefault="00E3699C" w:rsidP="00560A2F">
      <w:pPr>
        <w:keepNext/>
        <w:spacing w:after="0" w:line="240" w:lineRule="auto"/>
        <w:jc w:val="both"/>
        <w:outlineLvl w:val="4"/>
        <w:rPr>
          <w:rFonts w:ascii="Arial" w:eastAsia="Times New Roman" w:hAnsi="Arial" w:cs="Times New Roman"/>
          <w:b/>
          <w:sz w:val="24"/>
          <w:szCs w:val="20"/>
          <w:lang w:eastAsia="en-GB"/>
        </w:rPr>
      </w:pPr>
    </w:p>
    <w:tbl>
      <w:tblPr>
        <w:tblpPr w:leftFromText="180" w:rightFromText="180" w:vertAnchor="text" w:horzAnchor="margin" w:tblpXSpec="center" w:tblpY="371"/>
        <w:tblW w:w="9180" w:type="dxa"/>
        <w:tblLayout w:type="fixed"/>
        <w:tblLook w:val="0000" w:firstRow="0" w:lastRow="0" w:firstColumn="0" w:lastColumn="0" w:noHBand="0" w:noVBand="0"/>
      </w:tblPr>
      <w:tblGrid>
        <w:gridCol w:w="3227"/>
        <w:gridCol w:w="2775"/>
        <w:gridCol w:w="3178"/>
      </w:tblGrid>
      <w:tr w:rsidR="00AD409F" w:rsidRPr="00E3699C" w:rsidTr="00AD409F">
        <w:trPr>
          <w:trHeight w:val="113"/>
        </w:trPr>
        <w:tc>
          <w:tcPr>
            <w:tcW w:w="3227" w:type="dxa"/>
          </w:tcPr>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Paper</w:t>
            </w:r>
          </w:p>
        </w:tc>
        <w:tc>
          <w:tcPr>
            <w:tcW w:w="2775" w:type="dxa"/>
          </w:tcPr>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Date</w:t>
            </w:r>
          </w:p>
        </w:tc>
        <w:tc>
          <w:tcPr>
            <w:tcW w:w="3178" w:type="dxa"/>
          </w:tcPr>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Contact/Tel</w:t>
            </w:r>
          </w:p>
        </w:tc>
      </w:tr>
      <w:tr w:rsidR="00AD409F" w:rsidRPr="00E3699C" w:rsidTr="00AD409F">
        <w:trPr>
          <w:trHeight w:val="113"/>
        </w:trPr>
        <w:tc>
          <w:tcPr>
            <w:tcW w:w="3227" w:type="dxa"/>
          </w:tcPr>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p>
        </w:tc>
        <w:tc>
          <w:tcPr>
            <w:tcW w:w="2775" w:type="dxa"/>
          </w:tcPr>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p>
        </w:tc>
        <w:tc>
          <w:tcPr>
            <w:tcW w:w="3178" w:type="dxa"/>
          </w:tcPr>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p>
        </w:tc>
      </w:tr>
      <w:tr w:rsidR="00AD409F" w:rsidRPr="00E3699C" w:rsidTr="00AD409F">
        <w:tc>
          <w:tcPr>
            <w:tcW w:w="3227" w:type="dxa"/>
          </w:tcPr>
          <w:p w:rsidR="00AD409F" w:rsidRPr="00E3699C" w:rsidRDefault="00AD409F" w:rsidP="00AD409F">
            <w:pPr>
              <w:keepNext/>
              <w:spacing w:after="0" w:line="240" w:lineRule="auto"/>
              <w:outlineLvl w:val="6"/>
              <w:rPr>
                <w:rFonts w:ascii="Arial" w:eastAsia="Times New Roman" w:hAnsi="Arial" w:cs="Times New Roman"/>
                <w:sz w:val="24"/>
                <w:szCs w:val="20"/>
                <w:u w:val="single"/>
                <w:lang w:eastAsia="en-GB"/>
              </w:rPr>
            </w:pPr>
          </w:p>
          <w:p w:rsidR="00AD409F" w:rsidRPr="00E3699C" w:rsidRDefault="00AD409F" w:rsidP="00AD409F">
            <w:pPr>
              <w:keepNext/>
              <w:spacing w:after="0" w:line="240" w:lineRule="auto"/>
              <w:outlineLvl w:val="6"/>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 xml:space="preserve">Corporate Strategy: Consultation </w:t>
            </w:r>
            <w:hyperlink r:id="rId10" w:history="1">
              <w:r w:rsidRPr="00E3699C">
                <w:rPr>
                  <w:rFonts w:ascii="Arial" w:eastAsia="Times New Roman" w:hAnsi="Arial" w:cs="Times New Roman"/>
                  <w:color w:val="0563C1"/>
                  <w:sz w:val="24"/>
                  <w:szCs w:val="20"/>
                  <w:u w:val="single"/>
                  <w:lang w:eastAsia="en-GB"/>
                </w:rPr>
                <w:t>http://council.lancashire.gov.uk/ieListDocuments.aspx?CId=122&amp;MId=5070</w:t>
              </w:r>
            </w:hyperlink>
          </w:p>
          <w:p w:rsidR="00AD409F" w:rsidRPr="00E3699C" w:rsidRDefault="00AD409F" w:rsidP="00AD409F">
            <w:pPr>
              <w:spacing w:after="0" w:line="240" w:lineRule="auto"/>
              <w:rPr>
                <w:rFonts w:ascii="Arial" w:eastAsia="Times New Roman" w:hAnsi="Arial" w:cs="Times New Roman"/>
                <w:sz w:val="24"/>
                <w:szCs w:val="20"/>
                <w:lang w:eastAsia="en-GB"/>
              </w:rPr>
            </w:pPr>
          </w:p>
        </w:tc>
        <w:tc>
          <w:tcPr>
            <w:tcW w:w="2775" w:type="dxa"/>
          </w:tcPr>
          <w:p w:rsidR="00AD409F" w:rsidRPr="00E3699C" w:rsidRDefault="00AD409F" w:rsidP="00AD409F">
            <w:pPr>
              <w:keepNext/>
              <w:spacing w:after="0" w:line="240" w:lineRule="auto"/>
              <w:outlineLvl w:val="6"/>
              <w:rPr>
                <w:rFonts w:ascii="Arial" w:eastAsia="Times New Roman" w:hAnsi="Arial" w:cs="Times New Roman"/>
                <w:sz w:val="24"/>
                <w:szCs w:val="20"/>
                <w:u w:val="single"/>
                <w:lang w:eastAsia="en-GB"/>
              </w:rPr>
            </w:pPr>
          </w:p>
          <w:p w:rsidR="00AD409F" w:rsidRPr="00E3699C" w:rsidRDefault="00AD409F" w:rsidP="00AD409F">
            <w:pPr>
              <w:spacing w:after="0" w:line="240" w:lineRule="auto"/>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12 August 2015</w:t>
            </w:r>
          </w:p>
        </w:tc>
        <w:tc>
          <w:tcPr>
            <w:tcW w:w="3178" w:type="dxa"/>
          </w:tcPr>
          <w:p w:rsidR="00AD409F" w:rsidRPr="00E3699C" w:rsidRDefault="00AD409F" w:rsidP="00AD409F">
            <w:pPr>
              <w:spacing w:after="0" w:line="240" w:lineRule="auto"/>
              <w:rPr>
                <w:rFonts w:ascii="Arial" w:eastAsia="Times New Roman" w:hAnsi="Arial" w:cs="Times New Roman"/>
                <w:sz w:val="24"/>
                <w:szCs w:val="20"/>
                <w:u w:val="single"/>
                <w:lang w:eastAsia="en-GB"/>
              </w:rPr>
            </w:pPr>
          </w:p>
          <w:p w:rsidR="00AD409F" w:rsidRPr="00E3699C" w:rsidRDefault="00AD409F" w:rsidP="00AD409F">
            <w:pPr>
              <w:spacing w:after="0" w:line="240" w:lineRule="auto"/>
              <w:rPr>
                <w:rFonts w:ascii="Arial" w:eastAsia="Times New Roman" w:hAnsi="Arial" w:cs="Times New Roman"/>
                <w:sz w:val="24"/>
                <w:szCs w:val="20"/>
                <w:lang w:eastAsia="en-GB"/>
              </w:rPr>
            </w:pPr>
            <w:r w:rsidRPr="00E3699C">
              <w:rPr>
                <w:rFonts w:ascii="Arial" w:eastAsia="Times New Roman" w:hAnsi="Arial" w:cs="Times New Roman"/>
                <w:sz w:val="24"/>
                <w:szCs w:val="20"/>
                <w:lang w:eastAsia="en-GB"/>
              </w:rPr>
              <w:t>Dave Carr, Head of Service, Policy, Information and Commissioning (Start Well) 01772 532066</w:t>
            </w:r>
          </w:p>
        </w:tc>
      </w:tr>
    </w:tbl>
    <w:p w:rsidR="00E3699C" w:rsidRPr="00E3699C" w:rsidRDefault="00E3699C" w:rsidP="00E3699C">
      <w:pPr>
        <w:keepNext/>
        <w:spacing w:after="0" w:line="240" w:lineRule="auto"/>
        <w:outlineLvl w:val="4"/>
        <w:rPr>
          <w:rFonts w:ascii="Arial" w:eastAsia="Times New Roman" w:hAnsi="Arial" w:cs="Times New Roman"/>
          <w:b/>
          <w:sz w:val="24"/>
          <w:szCs w:val="20"/>
          <w:lang w:eastAsia="en-GB"/>
        </w:rPr>
      </w:pPr>
      <w:r w:rsidRPr="00E3699C">
        <w:rPr>
          <w:rFonts w:ascii="Arial" w:eastAsia="Times New Roman" w:hAnsi="Arial" w:cs="Times New Roman"/>
          <w:b/>
          <w:sz w:val="24"/>
          <w:szCs w:val="20"/>
          <w:lang w:eastAsia="en-GB"/>
        </w:rPr>
        <w:t>List of Background Papers</w:t>
      </w:r>
    </w:p>
    <w:p w:rsidR="00E3699C" w:rsidRDefault="00E3699C" w:rsidP="00345EB8">
      <w:pPr>
        <w:pStyle w:val="NoSpacing"/>
        <w:rPr>
          <w:rFonts w:ascii="Arial" w:hAnsi="Arial" w:cs="Arial"/>
          <w:b/>
          <w:sz w:val="24"/>
          <w:szCs w:val="24"/>
          <w:u w:val="single"/>
        </w:rPr>
      </w:pPr>
    </w:p>
    <w:p w:rsidR="00E3699C" w:rsidRDefault="00E3699C">
      <w:pPr>
        <w:rPr>
          <w:rFonts w:ascii="Arial" w:hAnsi="Arial" w:cs="Arial"/>
          <w:b/>
          <w:sz w:val="24"/>
          <w:szCs w:val="24"/>
          <w:u w:val="single"/>
        </w:rPr>
      </w:pPr>
    </w:p>
    <w:sectPr w:rsidR="00E3699C" w:rsidSect="006E497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08" w:rsidRDefault="009E1208" w:rsidP="001E6101">
      <w:pPr>
        <w:spacing w:after="0" w:line="240" w:lineRule="auto"/>
      </w:pPr>
      <w:r>
        <w:separator/>
      </w:r>
    </w:p>
  </w:endnote>
  <w:endnote w:type="continuationSeparator" w:id="0">
    <w:p w:rsidR="009E1208" w:rsidRDefault="009E1208" w:rsidP="001E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351" w:rsidRDefault="00F82351">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82351" w:rsidTr="00DD2F3B">
      <w:tc>
        <w:tcPr>
          <w:tcW w:w="9243" w:type="dxa"/>
          <w:tcBorders>
            <w:top w:val="nil"/>
            <w:left w:val="nil"/>
            <w:bottom w:val="nil"/>
            <w:right w:val="nil"/>
          </w:tcBorders>
        </w:tcPr>
        <w:p w:rsidR="00F82351" w:rsidRDefault="00F82351" w:rsidP="00F82351">
          <w:pPr>
            <w:pStyle w:val="Footer"/>
            <w:ind w:right="-45"/>
            <w:jc w:val="right"/>
          </w:pPr>
        </w:p>
      </w:tc>
    </w:tr>
  </w:tbl>
  <w:p w:rsidR="00F82351" w:rsidRDefault="00F82351">
    <w:pPr>
      <w:pStyle w:val="Footer"/>
    </w:pP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9135"/>
      <w:gridCol w:w="108"/>
    </w:tblGrid>
    <w:tr w:rsidR="00F82351" w:rsidTr="00F82351">
      <w:trPr>
        <w:gridBefore w:val="1"/>
        <w:wBefore w:w="108" w:type="dxa"/>
      </w:trPr>
      <w:tc>
        <w:tcPr>
          <w:tcW w:w="9243" w:type="dxa"/>
          <w:gridSpan w:val="2"/>
          <w:tcBorders>
            <w:top w:val="nil"/>
            <w:left w:val="nil"/>
            <w:bottom w:val="nil"/>
            <w:right w:val="nil"/>
          </w:tcBorders>
        </w:tcPr>
        <w:p w:rsidR="00F82351" w:rsidRDefault="00F82351" w:rsidP="00F82351">
          <w:pPr>
            <w:pStyle w:val="Footer"/>
            <w:ind w:right="-45"/>
            <w:jc w:val="right"/>
          </w:pPr>
        </w:p>
      </w:tc>
    </w:tr>
    <w:tr w:rsidR="00F82351" w:rsidTr="00F82351">
      <w:trPr>
        <w:gridAfter w:val="1"/>
        <w:wAfter w:w="108" w:type="dxa"/>
      </w:trPr>
      <w:tc>
        <w:tcPr>
          <w:tcW w:w="9243" w:type="dxa"/>
          <w:gridSpan w:val="2"/>
          <w:tcBorders>
            <w:top w:val="nil"/>
            <w:left w:val="nil"/>
            <w:bottom w:val="nil"/>
            <w:right w:val="nil"/>
          </w:tcBorders>
        </w:tcPr>
        <w:p w:rsidR="00F82351" w:rsidRDefault="00F82351" w:rsidP="00F82351">
          <w:pPr>
            <w:pStyle w:val="Footer"/>
            <w:ind w:right="-45"/>
            <w:jc w:val="right"/>
          </w:pPr>
        </w:p>
      </w:tc>
    </w:tr>
  </w:tbl>
  <w:p w:rsidR="00F82351" w:rsidRDefault="00F823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08" w:rsidRDefault="009E1208" w:rsidP="001E6101">
      <w:pPr>
        <w:spacing w:after="0" w:line="240" w:lineRule="auto"/>
      </w:pPr>
      <w:r>
        <w:separator/>
      </w:r>
    </w:p>
  </w:footnote>
  <w:footnote w:type="continuationSeparator" w:id="0">
    <w:p w:rsidR="009E1208" w:rsidRDefault="009E1208" w:rsidP="001E6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C9F"/>
    <w:multiLevelType w:val="hybridMultilevel"/>
    <w:tmpl w:val="BB902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D3729"/>
    <w:multiLevelType w:val="multilevel"/>
    <w:tmpl w:val="53F2D61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DF1AF2"/>
    <w:multiLevelType w:val="hybridMultilevel"/>
    <w:tmpl w:val="F5FE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B2206"/>
    <w:multiLevelType w:val="hybridMultilevel"/>
    <w:tmpl w:val="CE2C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65B5E"/>
    <w:multiLevelType w:val="hybridMultilevel"/>
    <w:tmpl w:val="1FC0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627EB"/>
    <w:multiLevelType w:val="hybridMultilevel"/>
    <w:tmpl w:val="E0965A5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16C03"/>
    <w:multiLevelType w:val="hybridMultilevel"/>
    <w:tmpl w:val="133A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63D9D"/>
    <w:multiLevelType w:val="hybridMultilevel"/>
    <w:tmpl w:val="BB505B44"/>
    <w:lvl w:ilvl="0" w:tplc="53E60D8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1D106A"/>
    <w:multiLevelType w:val="hybridMultilevel"/>
    <w:tmpl w:val="E9C6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9D26E2"/>
    <w:multiLevelType w:val="hybridMultilevel"/>
    <w:tmpl w:val="E5B84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3462A"/>
    <w:multiLevelType w:val="multilevel"/>
    <w:tmpl w:val="53F2D610"/>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EB22328"/>
    <w:multiLevelType w:val="hybridMultilevel"/>
    <w:tmpl w:val="BFFE26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30F001A"/>
    <w:multiLevelType w:val="hybridMultilevel"/>
    <w:tmpl w:val="1B749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2F067A"/>
    <w:multiLevelType w:val="hybridMultilevel"/>
    <w:tmpl w:val="3E523810"/>
    <w:lvl w:ilvl="0" w:tplc="17686E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2865F6"/>
    <w:multiLevelType w:val="hybridMultilevel"/>
    <w:tmpl w:val="A618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5026C7"/>
    <w:multiLevelType w:val="hybridMultilevel"/>
    <w:tmpl w:val="9D2C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B59EC"/>
    <w:multiLevelType w:val="hybridMultilevel"/>
    <w:tmpl w:val="F3D4B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83424DC"/>
    <w:multiLevelType w:val="hybridMultilevel"/>
    <w:tmpl w:val="B24EFAE6"/>
    <w:lvl w:ilvl="0" w:tplc="17686E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74860"/>
    <w:multiLevelType w:val="hybridMultilevel"/>
    <w:tmpl w:val="B7FCD0F2"/>
    <w:lvl w:ilvl="0" w:tplc="4E78C28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946EA4"/>
    <w:multiLevelType w:val="hybridMultilevel"/>
    <w:tmpl w:val="D76C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253B87"/>
    <w:multiLevelType w:val="hybridMultilevel"/>
    <w:tmpl w:val="0B1A3A1A"/>
    <w:lvl w:ilvl="0" w:tplc="08090001">
      <w:start w:val="1"/>
      <w:numFmt w:val="bullet"/>
      <w:lvlText w:val=""/>
      <w:lvlJc w:val="left"/>
      <w:pPr>
        <w:ind w:left="720" w:hanging="360"/>
      </w:pPr>
      <w:rPr>
        <w:rFonts w:ascii="Symbol" w:hAnsi="Symbol" w:hint="default"/>
      </w:rPr>
    </w:lvl>
    <w:lvl w:ilvl="1" w:tplc="46D27C3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597DDF"/>
    <w:multiLevelType w:val="hybridMultilevel"/>
    <w:tmpl w:val="5BF0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0172BB"/>
    <w:multiLevelType w:val="hybridMultilevel"/>
    <w:tmpl w:val="652C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E84694"/>
    <w:multiLevelType w:val="hybridMultilevel"/>
    <w:tmpl w:val="DE38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50F4B"/>
    <w:multiLevelType w:val="hybridMultilevel"/>
    <w:tmpl w:val="B6D6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D648A"/>
    <w:multiLevelType w:val="hybridMultilevel"/>
    <w:tmpl w:val="B87E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E7620"/>
    <w:multiLevelType w:val="hybridMultilevel"/>
    <w:tmpl w:val="FB40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051CC8"/>
    <w:multiLevelType w:val="hybridMultilevel"/>
    <w:tmpl w:val="C65A0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962861"/>
    <w:multiLevelType w:val="hybridMultilevel"/>
    <w:tmpl w:val="ED02EC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33E4B"/>
    <w:multiLevelType w:val="hybridMultilevel"/>
    <w:tmpl w:val="2B5A9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1C4FC9"/>
    <w:multiLevelType w:val="hybridMultilevel"/>
    <w:tmpl w:val="340AE660"/>
    <w:lvl w:ilvl="0" w:tplc="4E78C28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27162E"/>
    <w:multiLevelType w:val="hybridMultilevel"/>
    <w:tmpl w:val="4300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A6CEF"/>
    <w:multiLevelType w:val="hybridMultilevel"/>
    <w:tmpl w:val="9326B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D0AC8"/>
    <w:multiLevelType w:val="hybridMultilevel"/>
    <w:tmpl w:val="7A58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7E6CE9"/>
    <w:multiLevelType w:val="hybridMultilevel"/>
    <w:tmpl w:val="1ECE40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9E3C02"/>
    <w:multiLevelType w:val="hybridMultilevel"/>
    <w:tmpl w:val="C6A4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3B40B7"/>
    <w:multiLevelType w:val="hybridMultilevel"/>
    <w:tmpl w:val="C42EB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16E1C"/>
    <w:multiLevelType w:val="hybridMultilevel"/>
    <w:tmpl w:val="FB3CE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3"/>
  </w:num>
  <w:num w:numId="5">
    <w:abstractNumId w:val="0"/>
  </w:num>
  <w:num w:numId="6">
    <w:abstractNumId w:val="32"/>
  </w:num>
  <w:num w:numId="7">
    <w:abstractNumId w:val="21"/>
  </w:num>
  <w:num w:numId="8">
    <w:abstractNumId w:val="26"/>
  </w:num>
  <w:num w:numId="9">
    <w:abstractNumId w:val="28"/>
  </w:num>
  <w:num w:numId="10">
    <w:abstractNumId w:val="36"/>
  </w:num>
  <w:num w:numId="11">
    <w:abstractNumId w:val="8"/>
  </w:num>
  <w:num w:numId="12">
    <w:abstractNumId w:val="23"/>
  </w:num>
  <w:num w:numId="13">
    <w:abstractNumId w:val="14"/>
  </w:num>
  <w:num w:numId="14">
    <w:abstractNumId w:val="34"/>
  </w:num>
  <w:num w:numId="15">
    <w:abstractNumId w:val="30"/>
  </w:num>
  <w:num w:numId="16">
    <w:abstractNumId w:val="18"/>
  </w:num>
  <w:num w:numId="17">
    <w:abstractNumId w:val="33"/>
  </w:num>
  <w:num w:numId="18">
    <w:abstractNumId w:val="4"/>
  </w:num>
  <w:num w:numId="19">
    <w:abstractNumId w:val="16"/>
  </w:num>
  <w:num w:numId="20">
    <w:abstractNumId w:val="31"/>
  </w:num>
  <w:num w:numId="21">
    <w:abstractNumId w:val="6"/>
  </w:num>
  <w:num w:numId="22">
    <w:abstractNumId w:val="25"/>
  </w:num>
  <w:num w:numId="23">
    <w:abstractNumId w:val="22"/>
  </w:num>
  <w:num w:numId="24">
    <w:abstractNumId w:val="2"/>
  </w:num>
  <w:num w:numId="25">
    <w:abstractNumId w:val="24"/>
  </w:num>
  <w:num w:numId="26">
    <w:abstractNumId w:val="29"/>
  </w:num>
  <w:num w:numId="27">
    <w:abstractNumId w:val="11"/>
  </w:num>
  <w:num w:numId="28">
    <w:abstractNumId w:val="15"/>
  </w:num>
  <w:num w:numId="29">
    <w:abstractNumId w:val="37"/>
  </w:num>
  <w:num w:numId="30">
    <w:abstractNumId w:val="33"/>
  </w:num>
  <w:num w:numId="31">
    <w:abstractNumId w:val="10"/>
  </w:num>
  <w:num w:numId="32">
    <w:abstractNumId w:val="9"/>
  </w:num>
  <w:num w:numId="33">
    <w:abstractNumId w:val="7"/>
  </w:num>
  <w:num w:numId="34">
    <w:abstractNumId w:val="20"/>
  </w:num>
  <w:num w:numId="35">
    <w:abstractNumId w:val="19"/>
  </w:num>
  <w:num w:numId="36">
    <w:abstractNumId w:val="27"/>
  </w:num>
  <w:num w:numId="37">
    <w:abstractNumId w:val="12"/>
  </w:num>
  <w:num w:numId="38">
    <w:abstractNumId w:val="3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45"/>
    <w:rsid w:val="00007003"/>
    <w:rsid w:val="0001069C"/>
    <w:rsid w:val="00011BD0"/>
    <w:rsid w:val="0002531F"/>
    <w:rsid w:val="00025D25"/>
    <w:rsid w:val="000279F6"/>
    <w:rsid w:val="00033349"/>
    <w:rsid w:val="00034619"/>
    <w:rsid w:val="00042FAC"/>
    <w:rsid w:val="000445EF"/>
    <w:rsid w:val="00060158"/>
    <w:rsid w:val="000634C4"/>
    <w:rsid w:val="00070561"/>
    <w:rsid w:val="000733F5"/>
    <w:rsid w:val="000834B5"/>
    <w:rsid w:val="000A6001"/>
    <w:rsid w:val="000C01D6"/>
    <w:rsid w:val="000D0361"/>
    <w:rsid w:val="000D3DEB"/>
    <w:rsid w:val="000D5A8D"/>
    <w:rsid w:val="000D5CBA"/>
    <w:rsid w:val="000E0D78"/>
    <w:rsid w:val="000E3712"/>
    <w:rsid w:val="0010570A"/>
    <w:rsid w:val="00107985"/>
    <w:rsid w:val="0011054F"/>
    <w:rsid w:val="00112389"/>
    <w:rsid w:val="001167A7"/>
    <w:rsid w:val="001369ED"/>
    <w:rsid w:val="0014238B"/>
    <w:rsid w:val="001426B9"/>
    <w:rsid w:val="0014527A"/>
    <w:rsid w:val="00174FE9"/>
    <w:rsid w:val="00176A7E"/>
    <w:rsid w:val="00176E71"/>
    <w:rsid w:val="00190EE9"/>
    <w:rsid w:val="001A0085"/>
    <w:rsid w:val="001B2253"/>
    <w:rsid w:val="001C0A80"/>
    <w:rsid w:val="001C0B6F"/>
    <w:rsid w:val="001C1001"/>
    <w:rsid w:val="001C2EE4"/>
    <w:rsid w:val="001C3372"/>
    <w:rsid w:val="001E192F"/>
    <w:rsid w:val="001E4E95"/>
    <w:rsid w:val="001E6101"/>
    <w:rsid w:val="001E7950"/>
    <w:rsid w:val="00203687"/>
    <w:rsid w:val="00207320"/>
    <w:rsid w:val="00222D4E"/>
    <w:rsid w:val="00243438"/>
    <w:rsid w:val="00243B29"/>
    <w:rsid w:val="00253EBE"/>
    <w:rsid w:val="0025459D"/>
    <w:rsid w:val="00255D1A"/>
    <w:rsid w:val="00262D15"/>
    <w:rsid w:val="00266C85"/>
    <w:rsid w:val="002712E8"/>
    <w:rsid w:val="002743F5"/>
    <w:rsid w:val="00280F21"/>
    <w:rsid w:val="00295319"/>
    <w:rsid w:val="002A61BB"/>
    <w:rsid w:val="002A65FA"/>
    <w:rsid w:val="002B4140"/>
    <w:rsid w:val="002C2B81"/>
    <w:rsid w:val="002F15F4"/>
    <w:rsid w:val="00307815"/>
    <w:rsid w:val="00313DCD"/>
    <w:rsid w:val="00314193"/>
    <w:rsid w:val="00315DBF"/>
    <w:rsid w:val="00322F39"/>
    <w:rsid w:val="00323C17"/>
    <w:rsid w:val="0032580B"/>
    <w:rsid w:val="00330E9A"/>
    <w:rsid w:val="00333091"/>
    <w:rsid w:val="00340D91"/>
    <w:rsid w:val="003429A3"/>
    <w:rsid w:val="00345CD1"/>
    <w:rsid w:val="00345EB8"/>
    <w:rsid w:val="00374EAD"/>
    <w:rsid w:val="00376D94"/>
    <w:rsid w:val="00377C92"/>
    <w:rsid w:val="00382963"/>
    <w:rsid w:val="003A2484"/>
    <w:rsid w:val="003B06A9"/>
    <w:rsid w:val="003C3C6A"/>
    <w:rsid w:val="003D2EEC"/>
    <w:rsid w:val="003F2B53"/>
    <w:rsid w:val="003F605B"/>
    <w:rsid w:val="00400235"/>
    <w:rsid w:val="00416FA0"/>
    <w:rsid w:val="00425E50"/>
    <w:rsid w:val="004354BF"/>
    <w:rsid w:val="00436F42"/>
    <w:rsid w:val="00437A0E"/>
    <w:rsid w:val="00440927"/>
    <w:rsid w:val="004425D4"/>
    <w:rsid w:val="004543E6"/>
    <w:rsid w:val="00465827"/>
    <w:rsid w:val="00467850"/>
    <w:rsid w:val="00473BF8"/>
    <w:rsid w:val="00477E7D"/>
    <w:rsid w:val="00484EA3"/>
    <w:rsid w:val="004A4DDB"/>
    <w:rsid w:val="004C16EB"/>
    <w:rsid w:val="004D4F7F"/>
    <w:rsid w:val="004D79B3"/>
    <w:rsid w:val="004E2A8C"/>
    <w:rsid w:val="004E5292"/>
    <w:rsid w:val="005065B1"/>
    <w:rsid w:val="00517DBC"/>
    <w:rsid w:val="005219FB"/>
    <w:rsid w:val="005255EA"/>
    <w:rsid w:val="005337F9"/>
    <w:rsid w:val="005378AC"/>
    <w:rsid w:val="00560A2F"/>
    <w:rsid w:val="005775D8"/>
    <w:rsid w:val="00582B87"/>
    <w:rsid w:val="0059198D"/>
    <w:rsid w:val="005A3DAC"/>
    <w:rsid w:val="005A41CC"/>
    <w:rsid w:val="005A6A79"/>
    <w:rsid w:val="005B57C7"/>
    <w:rsid w:val="005B6A5D"/>
    <w:rsid w:val="005C31AF"/>
    <w:rsid w:val="005C3A11"/>
    <w:rsid w:val="005C550F"/>
    <w:rsid w:val="005D0928"/>
    <w:rsid w:val="005E3545"/>
    <w:rsid w:val="005E4E96"/>
    <w:rsid w:val="005E77BA"/>
    <w:rsid w:val="005F2201"/>
    <w:rsid w:val="00602716"/>
    <w:rsid w:val="0062002A"/>
    <w:rsid w:val="006330AC"/>
    <w:rsid w:val="00660E8B"/>
    <w:rsid w:val="00663152"/>
    <w:rsid w:val="00682AA8"/>
    <w:rsid w:val="0068725A"/>
    <w:rsid w:val="0069272E"/>
    <w:rsid w:val="00695336"/>
    <w:rsid w:val="00696790"/>
    <w:rsid w:val="006A3B61"/>
    <w:rsid w:val="006B1FCC"/>
    <w:rsid w:val="006D039C"/>
    <w:rsid w:val="006D5E80"/>
    <w:rsid w:val="006D7E9E"/>
    <w:rsid w:val="006E4979"/>
    <w:rsid w:val="006E5056"/>
    <w:rsid w:val="006E575C"/>
    <w:rsid w:val="006E651C"/>
    <w:rsid w:val="007017E7"/>
    <w:rsid w:val="00704972"/>
    <w:rsid w:val="0071172A"/>
    <w:rsid w:val="007129F6"/>
    <w:rsid w:val="00713759"/>
    <w:rsid w:val="00715CAB"/>
    <w:rsid w:val="00730D3D"/>
    <w:rsid w:val="0073320E"/>
    <w:rsid w:val="00743144"/>
    <w:rsid w:val="00745728"/>
    <w:rsid w:val="00751F70"/>
    <w:rsid w:val="0075508B"/>
    <w:rsid w:val="00756BBC"/>
    <w:rsid w:val="00770D87"/>
    <w:rsid w:val="00772D34"/>
    <w:rsid w:val="00787940"/>
    <w:rsid w:val="00790AB1"/>
    <w:rsid w:val="007A6FE5"/>
    <w:rsid w:val="007B34DC"/>
    <w:rsid w:val="007B413A"/>
    <w:rsid w:val="007B4F89"/>
    <w:rsid w:val="007C52C9"/>
    <w:rsid w:val="007D05C3"/>
    <w:rsid w:val="007D14F5"/>
    <w:rsid w:val="007D6D87"/>
    <w:rsid w:val="007E1894"/>
    <w:rsid w:val="007E1B6E"/>
    <w:rsid w:val="007E49B5"/>
    <w:rsid w:val="007F0B44"/>
    <w:rsid w:val="007F1AE9"/>
    <w:rsid w:val="008033CF"/>
    <w:rsid w:val="00804346"/>
    <w:rsid w:val="008130D1"/>
    <w:rsid w:val="00815717"/>
    <w:rsid w:val="008223C6"/>
    <w:rsid w:val="00830C23"/>
    <w:rsid w:val="008376C8"/>
    <w:rsid w:val="008571BF"/>
    <w:rsid w:val="00860077"/>
    <w:rsid w:val="0086292B"/>
    <w:rsid w:val="0087453A"/>
    <w:rsid w:val="00874EE4"/>
    <w:rsid w:val="00876A72"/>
    <w:rsid w:val="00887C86"/>
    <w:rsid w:val="00894685"/>
    <w:rsid w:val="008A798C"/>
    <w:rsid w:val="008B5144"/>
    <w:rsid w:val="008C16C2"/>
    <w:rsid w:val="008C1AFB"/>
    <w:rsid w:val="008C5942"/>
    <w:rsid w:val="008E48DE"/>
    <w:rsid w:val="008E6821"/>
    <w:rsid w:val="008E7692"/>
    <w:rsid w:val="008F28E1"/>
    <w:rsid w:val="008F572A"/>
    <w:rsid w:val="009008AF"/>
    <w:rsid w:val="009040FA"/>
    <w:rsid w:val="009111FD"/>
    <w:rsid w:val="009206BD"/>
    <w:rsid w:val="0093123E"/>
    <w:rsid w:val="00937B5C"/>
    <w:rsid w:val="009426F4"/>
    <w:rsid w:val="0094386A"/>
    <w:rsid w:val="00951701"/>
    <w:rsid w:val="00966E38"/>
    <w:rsid w:val="00975A2A"/>
    <w:rsid w:val="00981B6C"/>
    <w:rsid w:val="00982FC4"/>
    <w:rsid w:val="009A5260"/>
    <w:rsid w:val="009A591A"/>
    <w:rsid w:val="009C0B14"/>
    <w:rsid w:val="009C713F"/>
    <w:rsid w:val="009D09F9"/>
    <w:rsid w:val="009E1208"/>
    <w:rsid w:val="00A01E35"/>
    <w:rsid w:val="00A15439"/>
    <w:rsid w:val="00A44796"/>
    <w:rsid w:val="00A5185A"/>
    <w:rsid w:val="00A60EB4"/>
    <w:rsid w:val="00A6552C"/>
    <w:rsid w:val="00A7019D"/>
    <w:rsid w:val="00A744DA"/>
    <w:rsid w:val="00A74997"/>
    <w:rsid w:val="00A80C23"/>
    <w:rsid w:val="00A910F0"/>
    <w:rsid w:val="00AA7DCF"/>
    <w:rsid w:val="00AC01DD"/>
    <w:rsid w:val="00AC5025"/>
    <w:rsid w:val="00AC78D0"/>
    <w:rsid w:val="00AD409F"/>
    <w:rsid w:val="00AE2315"/>
    <w:rsid w:val="00AE4C28"/>
    <w:rsid w:val="00AE7597"/>
    <w:rsid w:val="00AF3828"/>
    <w:rsid w:val="00B16F7E"/>
    <w:rsid w:val="00B33B46"/>
    <w:rsid w:val="00B37600"/>
    <w:rsid w:val="00B45D20"/>
    <w:rsid w:val="00B5077D"/>
    <w:rsid w:val="00B52D6F"/>
    <w:rsid w:val="00B570CB"/>
    <w:rsid w:val="00B6174B"/>
    <w:rsid w:val="00B64922"/>
    <w:rsid w:val="00B71FA4"/>
    <w:rsid w:val="00B86642"/>
    <w:rsid w:val="00B9013B"/>
    <w:rsid w:val="00B926A9"/>
    <w:rsid w:val="00BA59D6"/>
    <w:rsid w:val="00BA6F7A"/>
    <w:rsid w:val="00BA7378"/>
    <w:rsid w:val="00BB5070"/>
    <w:rsid w:val="00BB67BE"/>
    <w:rsid w:val="00BB73B1"/>
    <w:rsid w:val="00BD1181"/>
    <w:rsid w:val="00BD7C11"/>
    <w:rsid w:val="00BE11FE"/>
    <w:rsid w:val="00BE6FA6"/>
    <w:rsid w:val="00C01A5D"/>
    <w:rsid w:val="00C02BF3"/>
    <w:rsid w:val="00C05030"/>
    <w:rsid w:val="00C0531D"/>
    <w:rsid w:val="00C132CB"/>
    <w:rsid w:val="00C1496C"/>
    <w:rsid w:val="00C2797A"/>
    <w:rsid w:val="00C315EF"/>
    <w:rsid w:val="00C43CD5"/>
    <w:rsid w:val="00C50B7F"/>
    <w:rsid w:val="00C530A4"/>
    <w:rsid w:val="00C57D86"/>
    <w:rsid w:val="00C624D9"/>
    <w:rsid w:val="00C65053"/>
    <w:rsid w:val="00C668F6"/>
    <w:rsid w:val="00C7383B"/>
    <w:rsid w:val="00C954C9"/>
    <w:rsid w:val="00CB72BE"/>
    <w:rsid w:val="00CC08FD"/>
    <w:rsid w:val="00CC2B29"/>
    <w:rsid w:val="00CD1200"/>
    <w:rsid w:val="00CD4A72"/>
    <w:rsid w:val="00CD7110"/>
    <w:rsid w:val="00CD79D3"/>
    <w:rsid w:val="00CE1AAE"/>
    <w:rsid w:val="00CE3AC7"/>
    <w:rsid w:val="00CF6A88"/>
    <w:rsid w:val="00D04CD9"/>
    <w:rsid w:val="00D074BA"/>
    <w:rsid w:val="00D157AC"/>
    <w:rsid w:val="00D265EF"/>
    <w:rsid w:val="00D30D84"/>
    <w:rsid w:val="00D350B8"/>
    <w:rsid w:val="00D37A7E"/>
    <w:rsid w:val="00D40218"/>
    <w:rsid w:val="00D42699"/>
    <w:rsid w:val="00D51182"/>
    <w:rsid w:val="00D70A37"/>
    <w:rsid w:val="00D9204B"/>
    <w:rsid w:val="00DA2AD3"/>
    <w:rsid w:val="00DB40EB"/>
    <w:rsid w:val="00DB5B4A"/>
    <w:rsid w:val="00DC0235"/>
    <w:rsid w:val="00DE3945"/>
    <w:rsid w:val="00DE64A8"/>
    <w:rsid w:val="00E021FC"/>
    <w:rsid w:val="00E03361"/>
    <w:rsid w:val="00E03B0F"/>
    <w:rsid w:val="00E05420"/>
    <w:rsid w:val="00E06FA1"/>
    <w:rsid w:val="00E308D9"/>
    <w:rsid w:val="00E3699C"/>
    <w:rsid w:val="00E42205"/>
    <w:rsid w:val="00E42C07"/>
    <w:rsid w:val="00E53F50"/>
    <w:rsid w:val="00E620D6"/>
    <w:rsid w:val="00E71192"/>
    <w:rsid w:val="00E7172F"/>
    <w:rsid w:val="00E8529E"/>
    <w:rsid w:val="00E918E6"/>
    <w:rsid w:val="00E934DA"/>
    <w:rsid w:val="00E97E36"/>
    <w:rsid w:val="00EA0DC5"/>
    <w:rsid w:val="00EB1F5C"/>
    <w:rsid w:val="00EB215E"/>
    <w:rsid w:val="00EC413D"/>
    <w:rsid w:val="00EC5C0C"/>
    <w:rsid w:val="00EF64E8"/>
    <w:rsid w:val="00F15229"/>
    <w:rsid w:val="00F159C2"/>
    <w:rsid w:val="00F163DF"/>
    <w:rsid w:val="00F26916"/>
    <w:rsid w:val="00F35A4D"/>
    <w:rsid w:val="00F36294"/>
    <w:rsid w:val="00F36628"/>
    <w:rsid w:val="00F43919"/>
    <w:rsid w:val="00F55C4E"/>
    <w:rsid w:val="00F67D00"/>
    <w:rsid w:val="00F74D3F"/>
    <w:rsid w:val="00F76470"/>
    <w:rsid w:val="00F82351"/>
    <w:rsid w:val="00F8305F"/>
    <w:rsid w:val="00F92D25"/>
    <w:rsid w:val="00FA0F04"/>
    <w:rsid w:val="00FA16E7"/>
    <w:rsid w:val="00FC1416"/>
    <w:rsid w:val="00FD3E14"/>
    <w:rsid w:val="00FE0726"/>
    <w:rsid w:val="00FE1334"/>
    <w:rsid w:val="00FE2FCB"/>
    <w:rsid w:val="00FE78B3"/>
    <w:rsid w:val="00FF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441521B-8766-4664-9D10-E33AAA29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545"/>
    <w:pPr>
      <w:spacing w:after="0" w:line="240" w:lineRule="auto"/>
    </w:pPr>
  </w:style>
  <w:style w:type="paragraph" w:styleId="ListParagraph">
    <w:name w:val="List Paragraph"/>
    <w:basedOn w:val="Normal"/>
    <w:uiPriority w:val="34"/>
    <w:qFormat/>
    <w:rsid w:val="00467850"/>
    <w:pPr>
      <w:ind w:left="720"/>
      <w:contextualSpacing/>
    </w:pPr>
  </w:style>
  <w:style w:type="table" w:styleId="TableGrid">
    <w:name w:val="Table Grid"/>
    <w:basedOn w:val="TableNormal"/>
    <w:uiPriority w:val="39"/>
    <w:rsid w:val="00B57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41CC"/>
    <w:rPr>
      <w:sz w:val="16"/>
      <w:szCs w:val="16"/>
    </w:rPr>
  </w:style>
  <w:style w:type="paragraph" w:styleId="CommentText">
    <w:name w:val="annotation text"/>
    <w:basedOn w:val="Normal"/>
    <w:link w:val="CommentTextChar"/>
    <w:uiPriority w:val="99"/>
    <w:semiHidden/>
    <w:unhideWhenUsed/>
    <w:rsid w:val="005A41CC"/>
    <w:pPr>
      <w:spacing w:line="240" w:lineRule="auto"/>
    </w:pPr>
    <w:rPr>
      <w:sz w:val="20"/>
      <w:szCs w:val="20"/>
    </w:rPr>
  </w:style>
  <w:style w:type="character" w:customStyle="1" w:styleId="CommentTextChar">
    <w:name w:val="Comment Text Char"/>
    <w:basedOn w:val="DefaultParagraphFont"/>
    <w:link w:val="CommentText"/>
    <w:uiPriority w:val="99"/>
    <w:semiHidden/>
    <w:rsid w:val="005A41CC"/>
    <w:rPr>
      <w:sz w:val="20"/>
      <w:szCs w:val="20"/>
    </w:rPr>
  </w:style>
  <w:style w:type="paragraph" w:styleId="CommentSubject">
    <w:name w:val="annotation subject"/>
    <w:basedOn w:val="CommentText"/>
    <w:next w:val="CommentText"/>
    <w:link w:val="CommentSubjectChar"/>
    <w:uiPriority w:val="99"/>
    <w:semiHidden/>
    <w:unhideWhenUsed/>
    <w:rsid w:val="005A41CC"/>
    <w:rPr>
      <w:b/>
      <w:bCs/>
    </w:rPr>
  </w:style>
  <w:style w:type="character" w:customStyle="1" w:styleId="CommentSubjectChar">
    <w:name w:val="Comment Subject Char"/>
    <w:basedOn w:val="CommentTextChar"/>
    <w:link w:val="CommentSubject"/>
    <w:uiPriority w:val="99"/>
    <w:semiHidden/>
    <w:rsid w:val="005A41CC"/>
    <w:rPr>
      <w:b/>
      <w:bCs/>
      <w:sz w:val="20"/>
      <w:szCs w:val="20"/>
    </w:rPr>
  </w:style>
  <w:style w:type="paragraph" w:styleId="BalloonText">
    <w:name w:val="Balloon Text"/>
    <w:basedOn w:val="Normal"/>
    <w:link w:val="BalloonTextChar"/>
    <w:uiPriority w:val="99"/>
    <w:semiHidden/>
    <w:unhideWhenUsed/>
    <w:rsid w:val="005A4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CC"/>
    <w:rPr>
      <w:rFonts w:ascii="Segoe UI" w:hAnsi="Segoe UI" w:cs="Segoe UI"/>
      <w:sz w:val="18"/>
      <w:szCs w:val="18"/>
    </w:rPr>
  </w:style>
  <w:style w:type="table" w:customStyle="1" w:styleId="TableGrid1">
    <w:name w:val="Table Grid1"/>
    <w:basedOn w:val="TableNormal"/>
    <w:next w:val="TableGrid"/>
    <w:uiPriority w:val="39"/>
    <w:rsid w:val="000D5CB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101"/>
  </w:style>
  <w:style w:type="paragraph" w:styleId="Footer">
    <w:name w:val="footer"/>
    <w:basedOn w:val="Normal"/>
    <w:link w:val="FooterChar"/>
    <w:unhideWhenUsed/>
    <w:rsid w:val="001E6101"/>
    <w:pPr>
      <w:tabs>
        <w:tab w:val="center" w:pos="4513"/>
        <w:tab w:val="right" w:pos="9026"/>
      </w:tabs>
      <w:spacing w:after="0" w:line="240" w:lineRule="auto"/>
    </w:pPr>
  </w:style>
  <w:style w:type="character" w:customStyle="1" w:styleId="FooterChar">
    <w:name w:val="Footer Char"/>
    <w:basedOn w:val="DefaultParagraphFont"/>
    <w:link w:val="Footer"/>
    <w:rsid w:val="001E6101"/>
  </w:style>
  <w:style w:type="paragraph" w:styleId="Revision">
    <w:name w:val="Revision"/>
    <w:hidden/>
    <w:uiPriority w:val="99"/>
    <w:semiHidden/>
    <w:rsid w:val="001369ED"/>
    <w:pPr>
      <w:spacing w:after="0" w:line="240" w:lineRule="auto"/>
    </w:pPr>
  </w:style>
  <w:style w:type="numbering" w:customStyle="1" w:styleId="NoList1">
    <w:name w:val="No List1"/>
    <w:next w:val="NoList"/>
    <w:uiPriority w:val="99"/>
    <w:semiHidden/>
    <w:unhideWhenUsed/>
    <w:rsid w:val="00A15439"/>
  </w:style>
  <w:style w:type="character" w:styleId="Hyperlink">
    <w:name w:val="Hyperlink"/>
    <w:basedOn w:val="DefaultParagraphFont"/>
    <w:uiPriority w:val="99"/>
    <w:semiHidden/>
    <w:unhideWhenUsed/>
    <w:rsid w:val="00A15439"/>
    <w:rPr>
      <w:color w:val="0563C1"/>
      <w:u w:val="single"/>
    </w:rPr>
  </w:style>
  <w:style w:type="character" w:styleId="FollowedHyperlink">
    <w:name w:val="FollowedHyperlink"/>
    <w:basedOn w:val="DefaultParagraphFont"/>
    <w:uiPriority w:val="99"/>
    <w:semiHidden/>
    <w:unhideWhenUsed/>
    <w:rsid w:val="00A15439"/>
    <w:rPr>
      <w:color w:val="954F72"/>
      <w:u w:val="single"/>
    </w:rPr>
  </w:style>
  <w:style w:type="paragraph" w:customStyle="1" w:styleId="xl65">
    <w:name w:val="xl65"/>
    <w:basedOn w:val="Normal"/>
    <w:rsid w:val="00A15439"/>
    <w:pPr>
      <w:spacing w:before="100" w:beforeAutospacing="1" w:after="100" w:afterAutospacing="1" w:line="240" w:lineRule="auto"/>
    </w:pPr>
    <w:rPr>
      <w:rFonts w:ascii="Arial" w:eastAsia="Times New Roman" w:hAnsi="Arial" w:cs="Arial"/>
      <w:sz w:val="24"/>
      <w:szCs w:val="24"/>
      <w:lang w:eastAsia="en-GB"/>
    </w:rPr>
  </w:style>
  <w:style w:type="paragraph" w:customStyle="1" w:styleId="xl66">
    <w:name w:val="xl66"/>
    <w:basedOn w:val="Normal"/>
    <w:rsid w:val="00A15439"/>
    <w:pP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67">
    <w:name w:val="xl67"/>
    <w:basedOn w:val="Normal"/>
    <w:rsid w:val="00A15439"/>
    <w:pPr>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68">
    <w:name w:val="xl68"/>
    <w:basedOn w:val="Normal"/>
    <w:rsid w:val="00A15439"/>
    <w:pPr>
      <w:spacing w:before="100" w:beforeAutospacing="1" w:after="100" w:afterAutospacing="1" w:line="240" w:lineRule="auto"/>
      <w:textAlignment w:val="center"/>
    </w:pPr>
    <w:rPr>
      <w:rFonts w:ascii="Arial" w:eastAsia="Times New Roman" w:hAnsi="Arial" w:cs="Arial"/>
      <w:sz w:val="24"/>
      <w:szCs w:val="24"/>
      <w:lang w:eastAsia="en-GB"/>
    </w:rPr>
  </w:style>
  <w:style w:type="table" w:customStyle="1" w:styleId="TableGrid2">
    <w:name w:val="Table Grid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5439"/>
  </w:style>
  <w:style w:type="table" w:customStyle="1" w:styleId="TableGrid11">
    <w:name w:val="Table Grid11"/>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A1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3760">
      <w:bodyDiv w:val="1"/>
      <w:marLeft w:val="0"/>
      <w:marRight w:val="0"/>
      <w:marTop w:val="0"/>
      <w:marBottom w:val="0"/>
      <w:divBdr>
        <w:top w:val="none" w:sz="0" w:space="0" w:color="auto"/>
        <w:left w:val="none" w:sz="0" w:space="0" w:color="auto"/>
        <w:bottom w:val="none" w:sz="0" w:space="0" w:color="auto"/>
        <w:right w:val="none" w:sz="0" w:space="0" w:color="auto"/>
      </w:divBdr>
    </w:div>
    <w:div w:id="107553639">
      <w:bodyDiv w:val="1"/>
      <w:marLeft w:val="0"/>
      <w:marRight w:val="0"/>
      <w:marTop w:val="0"/>
      <w:marBottom w:val="0"/>
      <w:divBdr>
        <w:top w:val="none" w:sz="0" w:space="0" w:color="auto"/>
        <w:left w:val="none" w:sz="0" w:space="0" w:color="auto"/>
        <w:bottom w:val="none" w:sz="0" w:space="0" w:color="auto"/>
        <w:right w:val="none" w:sz="0" w:space="0" w:color="auto"/>
      </w:divBdr>
    </w:div>
    <w:div w:id="254442609">
      <w:bodyDiv w:val="1"/>
      <w:marLeft w:val="0"/>
      <w:marRight w:val="0"/>
      <w:marTop w:val="0"/>
      <w:marBottom w:val="0"/>
      <w:divBdr>
        <w:top w:val="none" w:sz="0" w:space="0" w:color="auto"/>
        <w:left w:val="none" w:sz="0" w:space="0" w:color="auto"/>
        <w:bottom w:val="none" w:sz="0" w:space="0" w:color="auto"/>
        <w:right w:val="none" w:sz="0" w:space="0" w:color="auto"/>
      </w:divBdr>
    </w:div>
    <w:div w:id="526139556">
      <w:bodyDiv w:val="1"/>
      <w:marLeft w:val="0"/>
      <w:marRight w:val="0"/>
      <w:marTop w:val="0"/>
      <w:marBottom w:val="0"/>
      <w:divBdr>
        <w:top w:val="none" w:sz="0" w:space="0" w:color="auto"/>
        <w:left w:val="none" w:sz="0" w:space="0" w:color="auto"/>
        <w:bottom w:val="none" w:sz="0" w:space="0" w:color="auto"/>
        <w:right w:val="none" w:sz="0" w:space="0" w:color="auto"/>
      </w:divBdr>
    </w:div>
    <w:div w:id="940994683">
      <w:bodyDiv w:val="1"/>
      <w:marLeft w:val="0"/>
      <w:marRight w:val="0"/>
      <w:marTop w:val="0"/>
      <w:marBottom w:val="0"/>
      <w:divBdr>
        <w:top w:val="none" w:sz="0" w:space="0" w:color="auto"/>
        <w:left w:val="none" w:sz="0" w:space="0" w:color="auto"/>
        <w:bottom w:val="none" w:sz="0" w:space="0" w:color="auto"/>
        <w:right w:val="none" w:sz="0" w:space="0" w:color="auto"/>
      </w:divBdr>
    </w:div>
    <w:div w:id="117075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tidmarsh@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ouncil.lancashire.gov.uk/ieListDocuments.aspx?CId=122&amp;MId=5070"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825D-0D52-491F-AA74-9EE562C7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Tidmarsh, Matthew</dc:creator>
  <cp:keywords/>
  <dc:description/>
  <cp:lastModifiedBy>Mather, Chris</cp:lastModifiedBy>
  <cp:revision>5</cp:revision>
  <cp:lastPrinted>2015-11-13T10:32:00Z</cp:lastPrinted>
  <dcterms:created xsi:type="dcterms:W3CDTF">2015-11-13T16:16:00Z</dcterms:created>
  <dcterms:modified xsi:type="dcterms:W3CDTF">2015-11-16T08:43:00Z</dcterms:modified>
</cp:coreProperties>
</file>